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Pavilion Protocol: A Covenant-Based Architecture for Decentralized Sovereign Assets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 The Imperative for a New Treasury Standard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digitalization of Real-World Assets (RWAs), particularly precious metals, has reached a critical juncture in the evolution of decentralized finance (DeFi). While the initial wave of tokenization—led by centralized giants such as Paxos and Tether—successfully created digital receipts for gold, it failed to deliver the core promise of blockchain technology: sovereign, censorship-resistant ownership with fluid physical redeemability. The current landscape is dominated by a "bearer asset" model that acts largely as a paper derivative for retail investors, characterized by prohibitive redemption thresholds, reliance on centralized trust, and a regulatory posture that alienates the ethos of decentralized association.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Pavilion Protocol</w:t>
      </w:r>
      <w:r w:rsidDel="00000000" w:rsidR="00000000" w:rsidRPr="00000000">
        <w:rPr>
          <w:rFonts w:ascii="Google Sans Text" w:cs="Google Sans Text" w:eastAsia="Google Sans Text" w:hAnsi="Google Sans Text"/>
          <w:color w:val="1f1f1f"/>
          <w:rtl w:val="0"/>
        </w:rPr>
        <w:t xml:space="preserve"> is proposed herein as a comprehensive architectural response to these deficiencies. Designed as a decentralized, covenant-based treasury system on the PulseChain network, Pavilion fundamentally reimagines the relationship between the issuer and the holder. Moving beyond the adversarial "customer-provider" model, Pavilion utilizes a "Covenant Mesh"—a graph-based social trust layer—to establish a Private Membership Association (PMA) on-chain. This structure leverages the legal framework of the Wyoming Decentralized Unincorporated Nonprofit Association (DUNA) to align the incentives of participants, transforming them from passive consumers into active members of a mutual benefit society.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provides an exhaustive 15,000-word analysis of the requisite components for the Pavilion Protocol. It begins with a forensic dissection of the technical architectures of incumbent leaders (PAXG, XAUT, Kinesis), exposing the friction points in redemption mechanics and the opacity of reserve proofs. It proceeds to navigate the complex US regulatory landscape, identifying the "Issuer = Holder" defense as the optimal pathway for compliance without compromising decentralization. A competitive analysis of failed projects, notably DigixDAO and Cache Gold, highlights the critical necessity of social coordination layers, leading to the proposal of the Covenant Mesh based on Elinor Ostrom’s principles of commons management. Finally, the report culminates in a technical specification for the Phase 1 MVP on PulseChain, utilizing the ERC-4626 standard to ensure composability and efficient yield management.</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Technical Architecture: The State of Asset-Backed Redemption and Reserves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engineer a superior protocol, one must first deconstruct the existing mechanisms that govern the digital gold market. The primary value proposition of any asset-backed token is the fidelity of the link between the digital token and the physical asset. This link relies on two pillars: Redemption Mechanics (the ability to convert digital back to physical) and Proof of Reserves (the assurance that the physical asset exists). An analysis of the market leaders reveals that while liquidity has been solved, accessibility and transparency remain significant bottlenecks.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Comparative Analysis of Redemption Mechanics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Redemption is the ultimate arbiter of an asset-backed token's value. If a token cannot be redeemed for the underlying asset by the majority of its holders, it functions as a fractional reserve derivative or a paper claim, rather than a title of ownership. The industry standard, set by Paxos and Tether, effectively bifurcates the market into "institutional participants" (who can redeem) and "retail speculators" (who cannot).</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The "Whole Bar" Standard: PAX Gold (PAXG) and Tether Gold (XAUT)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two dominant tokens, PAX Gold (PAXG) and Tether Gold (XAUT), utilize a "Whole Bar" allocation model. This creates a high fidelity of ownership—holders can look up the specific serial number of the bar allocated to their address—but imposes severe restrictions on utility.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PAX Gold (PAXG)</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PAXG is issued by the Paxos Trust Company under the supervision of the New York State Department of Financial Services (NYDFS). Each token represents one fine troy ounce of a London Good Delivery bar, stored in Brink's vaults in London.1</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Redemption Thresholds:</w:t>
      </w:r>
      <w:r w:rsidDel="00000000" w:rsidR="00000000" w:rsidRPr="00000000">
        <w:rPr>
          <w:rFonts w:ascii="Google Sans Text" w:cs="Google Sans Text" w:eastAsia="Google Sans Text" w:hAnsi="Google Sans Text"/>
          <w:color w:val="1f1f1f"/>
          <w:rtl w:val="0"/>
        </w:rPr>
        <w:t xml:space="preserve"> The defining characteristic of PAXG's redemption mechanism is the requirement to redeem a full London Good Delivery bar. These bars typically weigh 400 troy ounces, though they can vary between 350 and 430 ounces.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At a gold price of $2,000/oz, this sets a minimum redemption capital requirement of approximately $800,000 to $860,000 USD.</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Operational Friction:</w:t>
      </w:r>
      <w:r w:rsidDel="00000000" w:rsidR="00000000" w:rsidRPr="00000000">
        <w:rPr>
          <w:rFonts w:ascii="Google Sans Text" w:cs="Google Sans Text" w:eastAsia="Google Sans Text" w:hAnsi="Google Sans Text"/>
          <w:color w:val="1f1f1f"/>
          <w:rtl w:val="0"/>
        </w:rPr>
        <w:t xml:space="preserve"> The user must hold at least 430 PAXG (plus fees) to initiate a redemption. If a user holds fewer tokens, they are directed to secondary market dealers or forced to convert to USD, breaking the asset-link.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 Structure:</w:t>
      </w:r>
      <w:r w:rsidDel="00000000" w:rsidR="00000000" w:rsidRPr="00000000">
        <w:rPr>
          <w:rFonts w:ascii="Google Sans Text" w:cs="Google Sans Text" w:eastAsia="Google Sans Text" w:hAnsi="Google Sans Text"/>
          <w:color w:val="1f1f1f"/>
          <w:rtl w:val="0"/>
        </w:rPr>
        <w:t xml:space="preserve"> Paxos charges a creation and destruction fee based on volume. For amounts between 0.03 and 2 PAXG, the fee is 0.02 PAXG (effectively high for micro-transactions). For standard amounts, it ranges from 0.03% to 1.00% depending on volume tiers.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Crucially, Paxos does not currently charge storage fees to token holders, absorbing this cost to maintain competitive advantage.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Tether Gold (XAUT)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Tether Gold operates under a similar model but through TG Commodities Limited. It represents ownership of gold in Swiss vaults.6</w:t>
      </w:r>
    </w:p>
    <w:p w:rsidR="00000000" w:rsidDel="00000000" w:rsidP="00000000" w:rsidRDefault="00000000" w:rsidRPr="00000000" w14:paraId="0000001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Redemption Thresholds:</w:t>
      </w:r>
      <w:r w:rsidDel="00000000" w:rsidR="00000000" w:rsidRPr="00000000">
        <w:rPr>
          <w:rFonts w:ascii="Google Sans Text" w:cs="Google Sans Text" w:eastAsia="Google Sans Text" w:hAnsi="Google Sans Text"/>
          <w:color w:val="1f1f1f"/>
          <w:rtl w:val="0"/>
        </w:rPr>
        <w:t xml:space="preserve"> Like PAXG, XAUT requires the holder to possess enough tokens to claim a full bar. The minimum purchase amount from the issuer is 50 XAUT (50 ounces), but physical redemption generally requires the standard 400 oz bar equivalent, or payment of a substantial fee to process smaller custom amounts.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 Structure:</w:t>
      </w:r>
      <w:r w:rsidDel="00000000" w:rsidR="00000000" w:rsidRPr="00000000">
        <w:rPr>
          <w:rFonts w:ascii="Google Sans Text" w:cs="Google Sans Text" w:eastAsia="Google Sans Text" w:hAnsi="Google Sans Text"/>
          <w:color w:val="1f1f1f"/>
          <w:rtl w:val="0"/>
        </w:rPr>
        <w:t xml:space="preserve"> Tether charges a flat 25 basis points (0.25%) fee on purchase and redemption. There is also a distinct verification fee of $150 USD for the KYC process required to interact directly with the issuer.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Geographic Limitations:</w:t>
      </w:r>
      <w:r w:rsidDel="00000000" w:rsidR="00000000" w:rsidRPr="00000000">
        <w:rPr>
          <w:rFonts w:ascii="Google Sans Text" w:cs="Google Sans Text" w:eastAsia="Google Sans Text" w:hAnsi="Google Sans Text"/>
          <w:color w:val="1f1f1f"/>
          <w:rtl w:val="0"/>
        </w:rPr>
        <w:t xml:space="preserve"> Redemption must occur in Switzerland, or the user can request the gold be sold for cash in the Swiss market.</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This geographic lock-in adds a layer of logistical complexity for global users compared to the more distributed networks of competitors.</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The "Split-Bar" Network: Kinesis (KAU)</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Kinesis represents a divergence from the "Whole Bar" model, focusing on utility and spendability. It utilizes the Allocated Bullion Exchange (ABX) infrastructure to offer a more granular redemption experience.</w:t>
      </w:r>
    </w:p>
    <w:p w:rsidR="00000000" w:rsidDel="00000000" w:rsidP="00000000" w:rsidRDefault="00000000" w:rsidRPr="00000000" w14:paraId="0000001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Redemption Thresholds:</w:t>
      </w:r>
      <w:r w:rsidDel="00000000" w:rsidR="00000000" w:rsidRPr="00000000">
        <w:rPr>
          <w:rFonts w:ascii="Google Sans Text" w:cs="Google Sans Text" w:eastAsia="Google Sans Text" w:hAnsi="Google Sans Text"/>
          <w:color w:val="1f1f1f"/>
          <w:rtl w:val="0"/>
        </w:rPr>
        <w:t xml:space="preserve"> Kinesis allows for the redemption of as little as </w:t>
      </w:r>
      <w:r w:rsidDel="00000000" w:rsidR="00000000" w:rsidRPr="00000000">
        <w:rPr>
          <w:rFonts w:ascii="Google Sans Text" w:cs="Google Sans Text" w:eastAsia="Google Sans Text" w:hAnsi="Google Sans Text"/>
          <w:b w:val="1"/>
          <w:bCs w:val="1"/>
          <w:color w:val="1f1f1f"/>
          <w:rtl w:val="0"/>
        </w:rPr>
        <w:t xml:space="preserve">100 grams</w:t>
      </w:r>
      <w:r w:rsidDel="00000000" w:rsidR="00000000" w:rsidRPr="00000000">
        <w:rPr>
          <w:rFonts w:ascii="Google Sans Text" w:cs="Google Sans Text" w:eastAsia="Google Sans Text" w:hAnsi="Google Sans Text"/>
          <w:color w:val="1f1f1f"/>
          <w:rtl w:val="0"/>
        </w:rPr>
        <w:t xml:space="preserve"> of gold (approximately 3.215 troy ounces).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This lowers the capital requirement to approximately $6,500 USD (at $2,000/oz), a reduction of over 99% compared to PAXG or XAUT. This accessibility transforms the redemption function from a theoretical legal right into a practical option for retail investors.</w:t>
      </w:r>
    </w:p>
    <w:p w:rsidR="00000000" w:rsidDel="00000000" w:rsidP="00000000" w:rsidRDefault="00000000" w:rsidRPr="00000000" w14:paraId="0000001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 Structure:</w:t>
      </w:r>
      <w:r w:rsidDel="00000000" w:rsidR="00000000" w:rsidRPr="00000000">
        <w:rPr>
          <w:rFonts w:ascii="Google Sans Text" w:cs="Google Sans Text" w:eastAsia="Google Sans Text" w:hAnsi="Google Sans Text"/>
          <w:color w:val="1f1f1f"/>
          <w:rtl w:val="0"/>
        </w:rPr>
        <w:t xml:space="preserve"> The cost for this accessibility is higher transaction fees. Kinesis charges a redemption fee of 0.45% plus a flat $100 fee plus delivery costs.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While the percentage is higher than Tether's 0.25%, the "all-in" cost is accessible to a much wider demographic.</w:t>
      </w:r>
    </w:p>
    <w:p w:rsidR="00000000" w:rsidDel="00000000" w:rsidP="00000000" w:rsidRDefault="00000000" w:rsidRPr="00000000" w14:paraId="0000001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Yield Mechanism:</w:t>
      </w:r>
      <w:r w:rsidDel="00000000" w:rsidR="00000000" w:rsidRPr="00000000">
        <w:rPr>
          <w:rFonts w:ascii="Google Sans Text" w:cs="Google Sans Text" w:eastAsia="Google Sans Text" w:hAnsi="Google Sans Text"/>
          <w:color w:val="1f1f1f"/>
          <w:rtl w:val="0"/>
        </w:rPr>
        <w:t xml:space="preserve"> Unlike PAXG or XAUT, Kinesis integrates a yield system where a portion of transaction fees are redistributed to holders.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This incentivizes velocity (spending/trading) rather than passive vaulting, attempting to solve the "negative carry" problem of gold storage.</w:t>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2.1.3 The Decentralized Aggregators: Aurus (AWG) and Cache Gold (CGT)</w:t>
      </w:r>
    </w:p>
    <w:p w:rsidR="00000000" w:rsidDel="00000000" w:rsidP="00000000" w:rsidRDefault="00000000" w:rsidRPr="00000000" w14:paraId="0000001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Aurus:</w:t>
      </w:r>
      <w:r w:rsidDel="00000000" w:rsidR="00000000" w:rsidRPr="00000000">
        <w:rPr>
          <w:rFonts w:ascii="Google Sans Text" w:cs="Google Sans Text" w:eastAsia="Google Sans Text" w:hAnsi="Google Sans Text"/>
          <w:color w:val="1f1f1f"/>
          <w:rtl w:val="0"/>
        </w:rPr>
        <w:t xml:space="preserve"> Aurus functions as a software provider for a network of gold dealers. It allows for the tokenization of 1-gram bars and charges a transaction fee of 0.15% and a storage fee of 0.40% per annum (paid by the holder).</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This introduces "carry costs" to the user, a significant deviation from the "free storage" model of PAXG/XAUT.</w:t>
      </w:r>
    </w:p>
    <w:p w:rsidR="00000000" w:rsidDel="00000000" w:rsidP="00000000" w:rsidRDefault="00000000" w:rsidRPr="00000000" w14:paraId="0000001D">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Cache Gold (CGT):</w:t>
      </w:r>
      <w:r w:rsidDel="00000000" w:rsidR="00000000" w:rsidRPr="00000000">
        <w:rPr>
          <w:rFonts w:ascii="Google Sans Text" w:cs="Google Sans Text" w:eastAsia="Google Sans Text" w:hAnsi="Google Sans Text"/>
          <w:color w:val="1f1f1f"/>
          <w:rtl w:val="0"/>
        </w:rPr>
        <w:t xml:space="preserve"> Before its wind-down in 2025, Cache Gold utilized the GramChain tracking system to offer redemption of smaller bars. However, its complex fee structure (storage fees + transaction fees) and lack of liquidity ultimately rendered the model unsustainable.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2.1.4 Architectural Implications for Pavilion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data suggests that the "Whole Bar" model of PAXG/XAUT acts as a gatekeeper mechanism, centralizing power. To design the </w:t>
      </w:r>
      <w:r w:rsidDel="00000000" w:rsidR="00000000" w:rsidRPr="00000000">
        <w:rPr>
          <w:rFonts w:ascii="Google Sans Text" w:cs="Google Sans Text" w:eastAsia="Google Sans Text" w:hAnsi="Google Sans Text"/>
          <w:b w:val="1"/>
          <w:bCs w:val="1"/>
          <w:color w:val="1f1f1f"/>
          <w:rtl w:val="0"/>
        </w:rPr>
        <w:t xml:space="preserve">Pavilion Protocol</w:t>
      </w:r>
      <w:r w:rsidDel="00000000" w:rsidR="00000000" w:rsidRPr="00000000">
        <w:rPr>
          <w:rFonts w:ascii="Google Sans Text" w:cs="Google Sans Text" w:eastAsia="Google Sans Text" w:hAnsi="Google Sans Text"/>
          <w:color w:val="1f1f1f"/>
          <w:rtl w:val="0"/>
        </w:rPr>
        <w:t xml:space="preserve">, we must reject the 430 oz minimum.</w:t>
      </w:r>
    </w:p>
    <w:p w:rsidR="00000000" w:rsidDel="00000000" w:rsidP="00000000" w:rsidRDefault="00000000" w:rsidRPr="00000000" w14:paraId="0000002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Design Requirement:</w:t>
      </w:r>
      <w:r w:rsidDel="00000000" w:rsidR="00000000" w:rsidRPr="00000000">
        <w:rPr>
          <w:rFonts w:ascii="Google Sans Text" w:cs="Google Sans Text" w:eastAsia="Google Sans Text" w:hAnsi="Google Sans Text"/>
          <w:color w:val="1f1f1f"/>
          <w:rtl w:val="0"/>
        </w:rPr>
        <w:t xml:space="preserve"> The Pavilion Protocol must implement a </w:t>
      </w:r>
      <w:r w:rsidDel="00000000" w:rsidR="00000000" w:rsidRPr="00000000">
        <w:rPr>
          <w:rFonts w:ascii="Google Sans Text" w:cs="Google Sans Text" w:eastAsia="Google Sans Text" w:hAnsi="Google Sans Text"/>
          <w:b w:val="1"/>
          <w:bCs w:val="1"/>
          <w:color w:val="1f1f1f"/>
          <w:rtl w:val="0"/>
        </w:rPr>
        <w:t xml:space="preserve">Tiered Redemption System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1">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Tier 1 (Institutional):</w:t>
      </w:r>
      <w:r w:rsidDel="00000000" w:rsidR="00000000" w:rsidRPr="00000000">
        <w:rPr>
          <w:rFonts w:ascii="Google Sans Text" w:cs="Google Sans Text" w:eastAsia="Google Sans Text" w:hAnsi="Google Sans Text"/>
          <w:color w:val="1f1f1f"/>
          <w:rtl w:val="0"/>
        </w:rPr>
        <w:t xml:space="preserve"> Direct redemption of 400 oz Good Delivery Bars from the primary vault, incurring minimal fees (e.g., 0.10%).</w:t>
      </w:r>
    </w:p>
    <w:p w:rsidR="00000000" w:rsidDel="00000000" w:rsidP="00000000" w:rsidRDefault="00000000" w:rsidRPr="00000000" w14:paraId="00000022">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Tier 2 (Retail):</w:t>
      </w:r>
      <w:r w:rsidDel="00000000" w:rsidR="00000000" w:rsidRPr="00000000">
        <w:rPr>
          <w:rFonts w:ascii="Google Sans Text" w:cs="Google Sans Text" w:eastAsia="Google Sans Text" w:hAnsi="Google Sans Text"/>
          <w:color w:val="1f1f1f"/>
          <w:rtl w:val="0"/>
        </w:rPr>
        <w:t xml:space="preserve"> Redemption of 100g or 1kg bars via a "Buffer Pool" managed by the Covenant Mesh. This allows the protocol to pool retail assets into wholesale bars while maintaining liquidity for small redemptions.</w:t>
      </w:r>
    </w:p>
    <w:p w:rsidR="00000000" w:rsidDel="00000000" w:rsidP="00000000" w:rsidRDefault="00000000" w:rsidRPr="00000000" w14:paraId="00000023">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Fee Strategy:</w:t>
      </w:r>
      <w:r w:rsidDel="00000000" w:rsidR="00000000" w:rsidRPr="00000000">
        <w:rPr>
          <w:rFonts w:ascii="Google Sans Text" w:cs="Google Sans Text" w:eastAsia="Google Sans Text" w:hAnsi="Google Sans Text"/>
          <w:color w:val="1f1f1f"/>
          <w:rtl w:val="0"/>
        </w:rPr>
        <w:t xml:space="preserve"> To compete with PAXG's "no storage fee," Pavilion must generate yield to offset vault costs. This necessitates the use of the </w:t>
      </w:r>
      <w:r w:rsidDel="00000000" w:rsidR="00000000" w:rsidRPr="00000000">
        <w:rPr>
          <w:rFonts w:ascii="Google Sans Text" w:cs="Google Sans Text" w:eastAsia="Google Sans Text" w:hAnsi="Google Sans Text"/>
          <w:b w:val="1"/>
          <w:bCs w:val="1"/>
          <w:color w:val="1f1f1f"/>
          <w:rtl w:val="0"/>
        </w:rPr>
        <w:t xml:space="preserve">ERC-4626 Tokenized Vault Standard</w:t>
      </w:r>
      <w:r w:rsidDel="00000000" w:rsidR="00000000" w:rsidRPr="00000000">
        <w:rPr>
          <w:rFonts w:ascii="Google Sans Text" w:cs="Google Sans Text" w:eastAsia="Google Sans Text" w:hAnsi="Google Sans Text"/>
          <w:color w:val="1f1f1f"/>
          <w:rtl w:val="0"/>
        </w:rPr>
        <w:t xml:space="preserve">, allowing the idle gold to be (conservatively) deployed or collateralized within the Covenant to generate the "maintenance" revenue.</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Proof of Reserves (PoR): From Attestation to Oracle Verification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current "Proof of Reserves" landscape is dominated by the archaic practice of "Attestation." An attestation is a snapshot in time—a PDF report signed by an accountant stating that </w:t>
      </w:r>
      <w:r w:rsidDel="00000000" w:rsidR="00000000" w:rsidRPr="00000000">
        <w:rPr>
          <w:rFonts w:ascii="Google Sans Text" w:cs="Google Sans Text" w:eastAsia="Google Sans Text" w:hAnsi="Google Sans Text"/>
          <w:i w:val="1"/>
          <w:iCs w:val="1"/>
          <w:color w:val="1f1f1f"/>
          <w:rtl w:val="0"/>
        </w:rPr>
        <w:t xml:space="preserve">at a specific moment</w:t>
      </w:r>
      <w:r w:rsidDel="00000000" w:rsidR="00000000" w:rsidRPr="00000000">
        <w:rPr>
          <w:rFonts w:ascii="Google Sans Text" w:cs="Google Sans Text" w:eastAsia="Google Sans Text" w:hAnsi="Google Sans Text"/>
          <w:color w:val="1f1f1f"/>
          <w:rtl w:val="0"/>
        </w:rPr>
        <w:t xml:space="preserve">, the assets matched the tokens. It does not prevent the assets from being moved five minutes after the snapshot.</w:t>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The Attestation Standard</w:t>
      </w:r>
    </w:p>
    <w:p w:rsidR="00000000" w:rsidDel="00000000" w:rsidP="00000000" w:rsidRDefault="00000000" w:rsidRPr="00000000" w14:paraId="0000002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PAXG:</w:t>
      </w:r>
      <w:r w:rsidDel="00000000" w:rsidR="00000000" w:rsidRPr="00000000">
        <w:rPr>
          <w:rFonts w:ascii="Google Sans Text" w:cs="Google Sans Text" w:eastAsia="Google Sans Text" w:hAnsi="Google Sans Text"/>
          <w:color w:val="1f1f1f"/>
          <w:rtl w:val="0"/>
        </w:rPr>
        <w:t xml:space="preserve"> Monthly attestation reports.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While reliable due to NYDFS oversight, it is slow and retroactive.</w:t>
      </w:r>
    </w:p>
    <w:p w:rsidR="00000000" w:rsidDel="00000000" w:rsidP="00000000" w:rsidRDefault="00000000" w:rsidRPr="00000000" w14:paraId="0000002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XAUT:</w:t>
      </w:r>
      <w:r w:rsidDel="00000000" w:rsidR="00000000" w:rsidRPr="00000000">
        <w:rPr>
          <w:rFonts w:ascii="Google Sans Text" w:cs="Google Sans Text" w:eastAsia="Google Sans Text" w:hAnsi="Google Sans Text"/>
          <w:color w:val="1f1f1f"/>
          <w:rtl w:val="0"/>
        </w:rPr>
        <w:t xml:space="preserve"> Quarterly attestations.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leaves massive blind spots in the timeline where reserves could theoretically be encumbered or moved.</w:t>
      </w:r>
    </w:p>
    <w:p w:rsidR="00000000" w:rsidDel="00000000" w:rsidP="00000000" w:rsidRDefault="00000000" w:rsidRPr="00000000" w14:paraId="00000029">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Audit Blind Spots:</w:t>
      </w:r>
      <w:r w:rsidDel="00000000" w:rsidR="00000000" w:rsidRPr="00000000">
        <w:rPr>
          <w:rFonts w:ascii="Google Sans Text" w:cs="Google Sans Text" w:eastAsia="Google Sans Text" w:hAnsi="Google Sans Text"/>
          <w:color w:val="1f1f1f"/>
          <w:rtl w:val="0"/>
        </w:rPr>
        <w:t xml:space="preserve"> Neither system prevents "double-spending" of the physical gold in the off-chain world (e.g., re-hypothecating the bar for a loan while it backs the token).</w:t>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The Real-Time Oracle Model: Cache Gold &amp; Chainlink</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Cache Gold pioneered the integration of </w:t>
      </w:r>
      <w:r w:rsidDel="00000000" w:rsidR="00000000" w:rsidRPr="00000000">
        <w:rPr>
          <w:rFonts w:ascii="Google Sans Text" w:cs="Google Sans Text" w:eastAsia="Google Sans Text" w:hAnsi="Google Sans Text"/>
          <w:b w:val="1"/>
          <w:bCs w:val="1"/>
          <w:color w:val="1f1f1f"/>
          <w:rtl w:val="0"/>
        </w:rPr>
        <w:t xml:space="preserve">Chainlink Proof of Reserve (PoR)</w:t>
      </w:r>
      <w:r w:rsidDel="00000000" w:rsidR="00000000" w:rsidRPr="00000000">
        <w:rPr>
          <w:rFonts w:ascii="Google Sans Text" w:cs="Google Sans Text" w:eastAsia="Google Sans Text" w:hAnsi="Google Sans Text"/>
          <w:color w:val="1f1f1f"/>
          <w:rtl w:val="0"/>
        </w:rPr>
        <w:t xml:space="preserve">. This system utilized the "GramChain" asset tracking system to push real-time data to an on-chain oracle.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2C">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The mint function of the smart contract interacts with the Chainlink oracle. If the Oracle reports TotalGold &lt; TotalTokens + MintAmount, the transaction reverts. This creates a cryptographic guarantee that unbacked tokens cannot be created.</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D">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Failure Analysis:</w:t>
      </w:r>
      <w:r w:rsidDel="00000000" w:rsidR="00000000" w:rsidRPr="00000000">
        <w:rPr>
          <w:rFonts w:ascii="Google Sans Text" w:cs="Google Sans Text" w:eastAsia="Google Sans Text" w:hAnsi="Google Sans Text"/>
          <w:color w:val="1f1f1f"/>
          <w:rtl w:val="0"/>
        </w:rPr>
        <w:t xml:space="preserve"> Cache Gold's failure was not due to this technology, but despite it. The market did not value transparency enough to overcome the liquidity advantage of Tether/Paxos.</w:t>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2.2.3 Pavilion Architecture: The "Don't Trust, Verify" Vault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Pavilion Protocol will adopt and improve upon the Chainlink PoR model.</w:t>
      </w:r>
    </w:p>
    <w:p w:rsidR="00000000" w:rsidDel="00000000" w:rsidP="00000000" w:rsidRDefault="00000000" w:rsidRPr="00000000" w14:paraId="00000030">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IoT Integration:</w:t>
      </w:r>
      <w:r w:rsidDel="00000000" w:rsidR="00000000" w:rsidRPr="00000000">
        <w:rPr>
          <w:rFonts w:ascii="Google Sans Text" w:cs="Google Sans Text" w:eastAsia="Google Sans Text" w:hAnsi="Google Sans Text"/>
          <w:color w:val="1f1f1f"/>
          <w:rtl w:val="0"/>
        </w:rPr>
        <w:t xml:space="preserve"> The protocol should prefer vaults that utilize IoT-enabled shelving (e.g., load cells or RFID tracking) that feed directly into the Oracle, removing human data entry errors.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Contract-Level Gating:</w:t>
      </w:r>
      <w:r w:rsidDel="00000000" w:rsidR="00000000" w:rsidRPr="00000000">
        <w:rPr>
          <w:rFonts w:ascii="Google Sans Text" w:cs="Google Sans Text" w:eastAsia="Google Sans Text" w:hAnsi="Google Sans Text"/>
          <w:color w:val="1f1f1f"/>
          <w:rtl w:val="0"/>
        </w:rPr>
        <w:t xml:space="preserve"> The Pavilion ERC-4626 contract will implement a modifier on both deposit and mint functions that queries the PoR feed.</w:t>
      </w:r>
    </w:p>
    <w:p w:rsidR="00000000" w:rsidDel="00000000" w:rsidP="00000000" w:rsidRDefault="00000000" w:rsidRPr="00000000" w14:paraId="00000032">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Table: Comparative Proof of Reserves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PAX Gold (PAXG)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Tether Gold (XAUT)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Pavilion Protocol (Design)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Verification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Monthly Accountant Report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Quarterly Report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Real-Time Chainlink Oracle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Latency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90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Block-Time (PulseChain)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Enforcement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Legal / Regulatory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Reputational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Smart Contract Logic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Unbacked Minting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Possible (Human Error/Fraud)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Possible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Mathematically Impossible</w:t>
            </w:r>
          </w:p>
        </w:tc>
      </w:tr>
    </w:tbl>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architecture ensures that the Pavilion Protocol operates on a "Trustless" basis regarding the </w:t>
      </w:r>
      <w:r w:rsidDel="00000000" w:rsidR="00000000" w:rsidRPr="00000000">
        <w:rPr>
          <w:rFonts w:ascii="Google Sans Text" w:cs="Google Sans Text" w:eastAsia="Google Sans Text" w:hAnsi="Google Sans Text"/>
          <w:i w:val="1"/>
          <w:iCs w:val="1"/>
          <w:color w:val="1f1f1f"/>
          <w:rtl w:val="0"/>
        </w:rPr>
        <w:t xml:space="preserve">quantity</w:t>
      </w:r>
      <w:r w:rsidDel="00000000" w:rsidR="00000000" w:rsidRPr="00000000">
        <w:rPr>
          <w:rFonts w:ascii="Google Sans Text" w:cs="Google Sans Text" w:eastAsia="Google Sans Text" w:hAnsi="Google Sans Text"/>
          <w:color w:val="1f1f1f"/>
          <w:rtl w:val="0"/>
        </w:rPr>
        <w:t xml:space="preserve"> of reserves, leaving only the </w:t>
      </w:r>
      <w:r w:rsidDel="00000000" w:rsidR="00000000" w:rsidRPr="00000000">
        <w:rPr>
          <w:rFonts w:ascii="Google Sans Text" w:cs="Google Sans Text" w:eastAsia="Google Sans Text" w:hAnsi="Google Sans Text"/>
          <w:i w:val="1"/>
          <w:iCs w:val="1"/>
          <w:color w:val="1f1f1f"/>
          <w:rtl w:val="0"/>
        </w:rPr>
        <w:t xml:space="preserve">quality</w:t>
      </w:r>
      <w:r w:rsidDel="00000000" w:rsidR="00000000" w:rsidRPr="00000000">
        <w:rPr>
          <w:rFonts w:ascii="Google Sans Text" w:cs="Google Sans Text" w:eastAsia="Google Sans Text" w:hAnsi="Google Sans Text"/>
          <w:color w:val="1f1f1f"/>
          <w:rtl w:val="0"/>
        </w:rPr>
        <w:t xml:space="preserve"> of the vault (physical security) as a trust assumption, which is mitigated via the Covenant Mesh.</w:t>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Regulatory Landscape: The Private Membership Association Defense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regulatory environment in the United States, particularly following the aggressive stances of the SEC in 2024-2025 and the introduction of guidance like SAB 121, has created a hostile environment for centralized crypto-asset issuers.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The traditional path of registering as a Trust Company (like Paxos) is capital-intensive and centralizing. The Pavilion Protocol, therefore, requires a novel legal engineering approach: The Private Membership Association (PMA).</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"Crypto Asset Security" Trap</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SEC has consistently argued that many crypto assets are securities because they involve an "investment of money in a common enterprise with a reasonable expectation of profits to be derived from the efforts of others" (the </w:t>
      </w:r>
      <w:r w:rsidDel="00000000" w:rsidR="00000000" w:rsidRPr="00000000">
        <w:rPr>
          <w:rFonts w:ascii="Google Sans Text" w:cs="Google Sans Text" w:eastAsia="Google Sans Text" w:hAnsi="Google Sans Text"/>
          <w:i w:val="1"/>
          <w:iCs w:val="1"/>
          <w:color w:val="1f1f1f"/>
          <w:rtl w:val="0"/>
        </w:rPr>
        <w:t xml:space="preserve">Howey</w:t>
      </w:r>
      <w:r w:rsidDel="00000000" w:rsidR="00000000" w:rsidRPr="00000000">
        <w:rPr>
          <w:rFonts w:ascii="Google Sans Text" w:cs="Google Sans Text" w:eastAsia="Google Sans Text" w:hAnsi="Google Sans Text"/>
          <w:color w:val="1f1f1f"/>
          <w:rtl w:val="0"/>
        </w:rPr>
        <w:t xml:space="preserve"> Test).</w:t>
      </w:r>
    </w:p>
    <w:p w:rsidR="00000000" w:rsidDel="00000000" w:rsidP="00000000" w:rsidRDefault="00000000" w:rsidRPr="00000000" w14:paraId="0000004C">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Promoter Problem:</w:t>
      </w:r>
      <w:r w:rsidDel="00000000" w:rsidR="00000000" w:rsidRPr="00000000">
        <w:rPr>
          <w:rFonts w:ascii="Google Sans Text" w:cs="Google Sans Text" w:eastAsia="Google Sans Text" w:hAnsi="Google Sans Text"/>
          <w:color w:val="1f1f1f"/>
          <w:rtl w:val="0"/>
        </w:rPr>
        <w:t xml:space="preserve"> In models like DigixDAO or Kinesis, there is a clear distinction between the "Promoters" (the team/company) and the "Investors" (token holders). The Promoters work to increase the value of the token/ecosystem, and the Investors expect profit. This creates a security.</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D">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Custody Trap:</w:t>
      </w:r>
      <w:r w:rsidDel="00000000" w:rsidR="00000000" w:rsidRPr="00000000">
        <w:rPr>
          <w:rFonts w:ascii="Google Sans Text" w:cs="Google Sans Text" w:eastAsia="Google Sans Text" w:hAnsi="Google Sans Text"/>
          <w:color w:val="1f1f1f"/>
          <w:rtl w:val="0"/>
        </w:rPr>
        <w:t xml:space="preserve"> Even if not a security, holding assets for others triggers "Custody" regulations. The FDIC and OCC have made it clear that banking organizations engaging in crypto-safekeeping face onerous capital requirements.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Wyoming DUNA: A Legal Shield for DAOs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2024, Wyoming introduced the </w:t>
      </w:r>
      <w:r w:rsidDel="00000000" w:rsidR="00000000" w:rsidRPr="00000000">
        <w:rPr>
          <w:rFonts w:ascii="Google Sans Text" w:cs="Google Sans Text" w:eastAsia="Google Sans Text" w:hAnsi="Google Sans Text"/>
          <w:b w:val="1"/>
          <w:bCs w:val="1"/>
          <w:color w:val="1f1f1f"/>
          <w:rtl w:val="0"/>
        </w:rPr>
        <w:t xml:space="preserve">Decentralized Unincorporated Nonprofit Association (DUNA)</w:t>
      </w:r>
      <w:r w:rsidDel="00000000" w:rsidR="00000000" w:rsidRPr="00000000">
        <w:rPr>
          <w:rFonts w:ascii="Google Sans Text" w:cs="Google Sans Text" w:eastAsia="Google Sans Text" w:hAnsi="Google Sans Text"/>
          <w:color w:val="1f1f1f"/>
          <w:rtl w:val="0"/>
        </w:rPr>
        <w:t xml:space="preserve"> act, a landmark piece of legislation designed specifically for DAOs.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0">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Legal Personality:</w:t>
      </w:r>
      <w:r w:rsidDel="00000000" w:rsidR="00000000" w:rsidRPr="00000000">
        <w:rPr>
          <w:rFonts w:ascii="Google Sans Text" w:cs="Google Sans Text" w:eastAsia="Google Sans Text" w:hAnsi="Google Sans Text"/>
          <w:color w:val="1f1f1f"/>
          <w:rtl w:val="0"/>
        </w:rPr>
        <w:t xml:space="preserve"> A DUNA gives the DAO legal personhood. It can own property (gold in a vault), contract with service providers (custodians, logistics), and appear in court. Crucially, it limits the liability of individual members; they are not personally responsible for the DAO's debts.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1">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Non-Profit vs. Mutual Benefit:</w:t>
      </w:r>
      <w:r w:rsidDel="00000000" w:rsidR="00000000" w:rsidRPr="00000000">
        <w:rPr>
          <w:rFonts w:ascii="Google Sans Text" w:cs="Google Sans Text" w:eastAsia="Google Sans Text" w:hAnsi="Google Sans Text"/>
          <w:color w:val="1f1f1f"/>
          <w:rtl w:val="0"/>
        </w:rPr>
        <w:t xml:space="preserve"> The "Nonprofit" label is a misnomer. A DUNA </w:t>
      </w:r>
      <w:r w:rsidDel="00000000" w:rsidR="00000000" w:rsidRPr="00000000">
        <w:rPr>
          <w:rFonts w:ascii="Google Sans Text" w:cs="Google Sans Text" w:eastAsia="Google Sans Text" w:hAnsi="Google Sans Text"/>
          <w:i w:val="1"/>
          <w:iCs w:val="1"/>
          <w:color w:val="1f1f1f"/>
          <w:rtl w:val="0"/>
        </w:rPr>
        <w:t xml:space="preserve">can</w:t>
      </w:r>
      <w:r w:rsidDel="00000000" w:rsidR="00000000" w:rsidRPr="00000000">
        <w:rPr>
          <w:rFonts w:ascii="Google Sans Text" w:cs="Google Sans Text" w:eastAsia="Google Sans Text" w:hAnsi="Google Sans Text"/>
          <w:color w:val="1f1f1f"/>
          <w:rtl w:val="0"/>
        </w:rPr>
        <w:t xml:space="preserve"> engage in for-profit activities (like earning yield on treasury assets). The restriction is that it cannot distribute these profits as </w:t>
      </w:r>
      <w:r w:rsidDel="00000000" w:rsidR="00000000" w:rsidRPr="00000000">
        <w:rPr>
          <w:rFonts w:ascii="Google Sans Text" w:cs="Google Sans Text" w:eastAsia="Google Sans Text" w:hAnsi="Google Sans Text"/>
          <w:i w:val="1"/>
          <w:iCs w:val="1"/>
          <w:color w:val="1f1f1f"/>
          <w:rtl w:val="0"/>
        </w:rPr>
        <w:t xml:space="preserve">dividends</w:t>
      </w:r>
      <w:r w:rsidDel="00000000" w:rsidR="00000000" w:rsidRPr="00000000">
        <w:rPr>
          <w:rFonts w:ascii="Google Sans Text" w:cs="Google Sans Text" w:eastAsia="Google Sans Text" w:hAnsi="Google Sans Text"/>
          <w:color w:val="1f1f1f"/>
          <w:rtl w:val="0"/>
        </w:rPr>
        <w:t xml:space="preserve"> to members in the traditional sense. Instead, the profits must be used for the "common purpose" of the association (e.g., buying more gold, subsidizing transaction fees, improving the protocol).</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"Issuer = Holder" Defense (Private Membership Association)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Pavilion Protocol leverages the DUNA structure to establish a </w:t>
      </w:r>
      <w:r w:rsidDel="00000000" w:rsidR="00000000" w:rsidRPr="00000000">
        <w:rPr>
          <w:rFonts w:ascii="Google Sans Text" w:cs="Google Sans Text" w:eastAsia="Google Sans Text" w:hAnsi="Google Sans Text"/>
          <w:b w:val="1"/>
          <w:bCs w:val="1"/>
          <w:color w:val="1f1f1f"/>
          <w:rtl w:val="0"/>
        </w:rPr>
        <w:t xml:space="preserve">Private Membership Association (PMA)</w:t>
      </w:r>
      <w:r w:rsidDel="00000000" w:rsidR="00000000" w:rsidRPr="00000000">
        <w:rPr>
          <w:rFonts w:ascii="Google Sans Text" w:cs="Google Sans Text" w:eastAsia="Google Sans Text" w:hAnsi="Google Sans Text"/>
          <w:color w:val="1f1f1f"/>
          <w:rtl w:val="0"/>
        </w:rPr>
        <w:t xml:space="preserve">. This is a legal concept often used by clubs, unions, and mutual aid societies.</w:t>
      </w:r>
    </w:p>
    <w:p w:rsidR="00000000" w:rsidDel="00000000" w:rsidP="00000000" w:rsidRDefault="00000000" w:rsidRPr="00000000" w14:paraId="00000054">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Theory:</w:t>
      </w:r>
      <w:r w:rsidDel="00000000" w:rsidR="00000000" w:rsidRPr="00000000">
        <w:rPr>
          <w:rFonts w:ascii="Google Sans Text" w:cs="Google Sans Text" w:eastAsia="Google Sans Text" w:hAnsi="Google Sans Text"/>
          <w:color w:val="1f1f1f"/>
          <w:rtl w:val="0"/>
        </w:rPr>
        <w:t xml:space="preserve"> If an association is closed—meaning one must be "inducted" to join—and the association creates a product solely for the use of its members, it is arguably not making a "Public Offering."</w:t>
      </w:r>
    </w:p>
    <w:p w:rsidR="00000000" w:rsidDel="00000000" w:rsidP="00000000" w:rsidRDefault="00000000" w:rsidRPr="00000000" w14:paraId="00000055">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Application to Pavilion:</w:t>
      </w:r>
    </w:p>
    <w:p w:rsidR="00000000" w:rsidDel="00000000" w:rsidP="00000000" w:rsidRDefault="00000000" w:rsidRPr="00000000" w14:paraId="00000056">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Closed Loop:</w:t>
      </w:r>
      <w:r w:rsidDel="00000000" w:rsidR="00000000" w:rsidRPr="00000000">
        <w:rPr>
          <w:rFonts w:ascii="Google Sans Text" w:cs="Google Sans Text" w:eastAsia="Google Sans Text" w:hAnsi="Google Sans Text"/>
          <w:color w:val="1f1f1f"/>
          <w:rtl w:val="0"/>
        </w:rPr>
        <w:t xml:space="preserve"> The Pavilion Protocol is not permissionless in the sense that </w:t>
      </w:r>
      <w:r w:rsidDel="00000000" w:rsidR="00000000" w:rsidRPr="00000000">
        <w:rPr>
          <w:rFonts w:ascii="Google Sans Text" w:cs="Google Sans Text" w:eastAsia="Google Sans Text" w:hAnsi="Google Sans Text"/>
          <w:i w:val="1"/>
          <w:iCs w:val="1"/>
          <w:color w:val="1f1f1f"/>
          <w:rtl w:val="0"/>
        </w:rPr>
        <w:t xml:space="preserve">anyone</w:t>
      </w:r>
      <w:r w:rsidDel="00000000" w:rsidR="00000000" w:rsidRPr="00000000">
        <w:rPr>
          <w:rFonts w:ascii="Google Sans Text" w:cs="Google Sans Text" w:eastAsia="Google Sans Text" w:hAnsi="Google Sans Text"/>
          <w:color w:val="1f1f1f"/>
          <w:rtl w:val="0"/>
        </w:rPr>
        <w:t xml:space="preserve"> can buy the token on Uniswap. One must first join the "Covenant Mesh" (Web of Trust).</w:t>
      </w:r>
    </w:p>
    <w:p w:rsidR="00000000" w:rsidDel="00000000" w:rsidP="00000000" w:rsidRDefault="00000000" w:rsidRPr="00000000" w14:paraId="00000057">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Identity:</w:t>
      </w:r>
      <w:r w:rsidDel="00000000" w:rsidR="00000000" w:rsidRPr="00000000">
        <w:rPr>
          <w:rFonts w:ascii="Google Sans Text" w:cs="Google Sans Text" w:eastAsia="Google Sans Text" w:hAnsi="Google Sans Text"/>
          <w:color w:val="1f1f1f"/>
          <w:rtl w:val="0"/>
        </w:rPr>
        <w:t xml:space="preserve"> The members of the Covenant Mesh </w:t>
      </w:r>
      <w:r w:rsidDel="00000000" w:rsidR="00000000" w:rsidRPr="00000000">
        <w:rPr>
          <w:rFonts w:ascii="Google Sans Text" w:cs="Google Sans Text" w:eastAsia="Google Sans Text" w:hAnsi="Google Sans Text"/>
          <w:i w:val="1"/>
          <w:iCs w:val="1"/>
          <w:color w:val="1f1f1f"/>
          <w:rtl w:val="0"/>
        </w:rPr>
        <w:t xml:space="preserve">are</w:t>
      </w:r>
      <w:r w:rsidDel="00000000" w:rsidR="00000000" w:rsidRPr="00000000">
        <w:rPr>
          <w:rFonts w:ascii="Google Sans Text" w:cs="Google Sans Text" w:eastAsia="Google Sans Text" w:hAnsi="Google Sans Text"/>
          <w:color w:val="1f1f1f"/>
          <w:rtl w:val="0"/>
        </w:rPr>
        <w:t xml:space="preserve"> the Pavilion Association (the DUNA).</w:t>
      </w:r>
    </w:p>
    <w:p w:rsidR="00000000" w:rsidDel="00000000" w:rsidP="00000000" w:rsidRDefault="00000000" w:rsidRPr="00000000" w14:paraId="00000058">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Self-Issuance:</w:t>
      </w:r>
      <w:r w:rsidDel="00000000" w:rsidR="00000000" w:rsidRPr="00000000">
        <w:rPr>
          <w:rFonts w:ascii="Google Sans Text" w:cs="Google Sans Text" w:eastAsia="Google Sans Text" w:hAnsi="Google Sans Text"/>
          <w:color w:val="1f1f1f"/>
          <w:rtl w:val="0"/>
        </w:rPr>
        <w:t xml:space="preserve"> When the Association mints a token backed by gold, it is minting it </w:t>
      </w:r>
      <w:r w:rsidDel="00000000" w:rsidR="00000000" w:rsidRPr="00000000">
        <w:rPr>
          <w:rFonts w:ascii="Google Sans Text" w:cs="Google Sans Text" w:eastAsia="Google Sans Text" w:hAnsi="Google Sans Text"/>
          <w:i w:val="1"/>
          <w:iCs w:val="1"/>
          <w:color w:val="1f1f1f"/>
          <w:rtl w:val="0"/>
        </w:rPr>
        <w:t xml:space="preserve">for itself</w:t>
      </w:r>
      <w:r w:rsidDel="00000000" w:rsidR="00000000" w:rsidRPr="00000000">
        <w:rPr>
          <w:rFonts w:ascii="Google Sans Text" w:cs="Google Sans Text" w:eastAsia="Google Sans Text" w:hAnsi="Google Sans Text"/>
          <w:color w:val="1f1f1f"/>
          <w:rtl w:val="0"/>
        </w:rPr>
        <w:t xml:space="preserve"> (the collective membership). There is no third-party "Promoter" selling to a distinct class of "Investors." The Issuer and the Holder are the same legal entity (the Association).</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9">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Regulatory Insulation:</w:t>
      </w:r>
      <w:r w:rsidDel="00000000" w:rsidR="00000000" w:rsidRPr="00000000">
        <w:rPr>
          <w:rFonts w:ascii="Google Sans Text" w:cs="Google Sans Text" w:eastAsia="Google Sans Text" w:hAnsi="Google Sans Text"/>
          <w:color w:val="1f1f1f"/>
          <w:rtl w:val="0"/>
        </w:rPr>
        <w:t xml:space="preserve"> This structure attacks the "Efforts of Others" prong of </w:t>
      </w:r>
      <w:r w:rsidDel="00000000" w:rsidR="00000000" w:rsidRPr="00000000">
        <w:rPr>
          <w:rFonts w:ascii="Google Sans Text" w:cs="Google Sans Text" w:eastAsia="Google Sans Text" w:hAnsi="Google Sans Text"/>
          <w:i w:val="1"/>
          <w:iCs w:val="1"/>
          <w:color w:val="1f1f1f"/>
          <w:rtl w:val="0"/>
        </w:rPr>
        <w:t xml:space="preserve">Howey</w:t>
      </w:r>
      <w:r w:rsidDel="00000000" w:rsidR="00000000" w:rsidRPr="00000000">
        <w:rPr>
          <w:rFonts w:ascii="Google Sans Text" w:cs="Google Sans Text" w:eastAsia="Google Sans Text" w:hAnsi="Google Sans Text"/>
          <w:color w:val="1f1f1f"/>
          <w:rtl w:val="0"/>
        </w:rPr>
        <w:t xml:space="preserve">. If the members are governing the protocol via the Covenant Mesh, they are relying on </w:t>
      </w:r>
      <w:r w:rsidDel="00000000" w:rsidR="00000000" w:rsidRPr="00000000">
        <w:rPr>
          <w:rFonts w:ascii="Google Sans Text" w:cs="Google Sans Text" w:eastAsia="Google Sans Text" w:hAnsi="Google Sans Text"/>
          <w:i w:val="1"/>
          <w:iCs w:val="1"/>
          <w:color w:val="1f1f1f"/>
          <w:rtl w:val="0"/>
        </w:rPr>
        <w:t xml:space="preserve">their own efforts</w:t>
      </w:r>
      <w:r w:rsidDel="00000000" w:rsidR="00000000" w:rsidRPr="00000000">
        <w:rPr>
          <w:rFonts w:ascii="Google Sans Text" w:cs="Google Sans Text" w:eastAsia="Google Sans Text" w:hAnsi="Google Sans Text"/>
          <w:color w:val="1f1f1f"/>
          <w:rtl w:val="0"/>
        </w:rPr>
        <w:t xml:space="preserve">, not the efforts of a third party. This significantly reduces the risk of classification as a security.</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Summary of Regulatory Strategy</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Pavilion Protocol will be structured as a Wyoming DUNA. The smart contracts will enforce this legal structure by checking the "Covenant Registry" (membership list) before allowing any mint or transfer operations. This effectively creates a "walled garden" or "intranet of value" that operates outside the purview of public securities regulations, provided it maintains strict membership criteria.</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Competitive Analysis: Forensic Accounting of Distributed Vault Failures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the viability of the Pavilion Protocol, we must perform a "pre-mortem" by analyzing the failures of previous attempts to decentralize gold. The ghosts of DigixDAO and Cache Gold provide critical lessons in incentive alignment and social trust.</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Case Study: DigixDAO (DGD) – The Arbitrage of Governance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DigixDAO was the first major DAO on Ethereum, launching with a gold-backed token (DGX) and a governance token (DGD). It dissolved in 2020 via "Project Ragnarok".</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60">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Mechanism of Failure:</w:t>
      </w:r>
      <w:r w:rsidDel="00000000" w:rsidR="00000000" w:rsidRPr="00000000">
        <w:rPr>
          <w:rFonts w:ascii="Google Sans Text" w:cs="Google Sans Text" w:eastAsia="Google Sans Text" w:hAnsi="Google Sans Text"/>
          <w:color w:val="1f1f1f"/>
          <w:rtl w:val="0"/>
        </w:rPr>
        <w:t xml:space="preserve"> DigixDAO raised a massive amount of ETH in its ICO. As the price of ETH skyrocketed between 2017 and 2020, the value of the ETH held in the DAO's treasury ballooned to over $60 million. However, the market capitalization of the DGD token (which controlled the treasury) languished at around $20 million.</w:t>
      </w:r>
    </w:p>
    <w:p w:rsidR="00000000" w:rsidDel="00000000" w:rsidP="00000000" w:rsidRDefault="00000000" w:rsidRPr="00000000" w14:paraId="00000061">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Arbitrage Attack:</w:t>
      </w:r>
      <w:r w:rsidDel="00000000" w:rsidR="00000000" w:rsidRPr="00000000">
        <w:rPr>
          <w:rFonts w:ascii="Google Sans Text" w:cs="Google Sans Text" w:eastAsia="Google Sans Text" w:hAnsi="Google Sans Text"/>
          <w:color w:val="1f1f1f"/>
          <w:rtl w:val="0"/>
        </w:rPr>
        <w:t xml:space="preserve"> Rational market actors realized they could buy DGD tokens for $20 million, control the vote, and dissolve the DAO to claim the $60 million in ETH. This is exactly what happened. The "Dissolution" vote passed because it was infinitely more profitable to kill the project than to let it run.</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62">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Lesson:</w:t>
      </w:r>
      <w:r w:rsidDel="00000000" w:rsidR="00000000" w:rsidRPr="00000000">
        <w:rPr>
          <w:rFonts w:ascii="Google Sans Text" w:cs="Google Sans Text" w:eastAsia="Google Sans Text" w:hAnsi="Google Sans Text"/>
          <w:color w:val="1f1f1f"/>
          <w:rtl w:val="0"/>
        </w:rPr>
        <w:t xml:space="preserve"> A DAO's treasury must never consist primarily of speculative, non-native assets that can outperform the project's own utility. The Pavilion Treasury must be denominated in the asset itself (Gold) or yield-generating instruments derived from the asset. Furthermore, governance power must not be purely plutocratic (token-based). If "Trust" cannot be bought, an arbitrageur cannot buy a majority vote to liquidate the treasury.</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Case Study: Cache Gold (CGT) – The Technocrat’s Fallacy</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Cache Gold built the perfect technical mousetrap. They had GramChain, real-time tracking, and Chainlink PoR.</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Yet, they failed to gain traction and wound down operations in 2025.</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5">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Mechanism of Failure:</w:t>
      </w:r>
      <w:r w:rsidDel="00000000" w:rsidR="00000000" w:rsidRPr="00000000">
        <w:rPr>
          <w:rFonts w:ascii="Google Sans Text" w:cs="Google Sans Text" w:eastAsia="Google Sans Text" w:hAnsi="Google Sans Text"/>
          <w:color w:val="1f1f1f"/>
          <w:rtl w:val="0"/>
        </w:rPr>
        <w:t xml:space="preserve"> Cache Gold focused entirely on </w:t>
      </w:r>
      <w:r w:rsidDel="00000000" w:rsidR="00000000" w:rsidRPr="00000000">
        <w:rPr>
          <w:rFonts w:ascii="Google Sans Text" w:cs="Google Sans Text" w:eastAsia="Google Sans Text" w:hAnsi="Google Sans Text"/>
          <w:i w:val="1"/>
          <w:iCs w:val="1"/>
          <w:color w:val="1f1f1f"/>
          <w:rtl w:val="0"/>
        </w:rPr>
        <w:t xml:space="preserve">utility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transparency</w:t>
      </w:r>
      <w:r w:rsidDel="00000000" w:rsidR="00000000" w:rsidRPr="00000000">
        <w:rPr>
          <w:rFonts w:ascii="Google Sans Text" w:cs="Google Sans Text" w:eastAsia="Google Sans Text" w:hAnsi="Google Sans Text"/>
          <w:color w:val="1f1f1f"/>
          <w:rtl w:val="0"/>
        </w:rPr>
        <w:t xml:space="preserve"> but neglected </w:t>
      </w:r>
      <w:r w:rsidDel="00000000" w:rsidR="00000000" w:rsidRPr="00000000">
        <w:rPr>
          <w:rFonts w:ascii="Google Sans Text" w:cs="Google Sans Text" w:eastAsia="Google Sans Text" w:hAnsi="Google Sans Text"/>
          <w:i w:val="1"/>
          <w:iCs w:val="1"/>
          <w:color w:val="1f1f1f"/>
          <w:rtl w:val="0"/>
        </w:rPr>
        <w:t xml:space="preserve">liquidity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community</w:t>
      </w:r>
      <w:r w:rsidDel="00000000" w:rsidR="00000000" w:rsidRPr="00000000">
        <w:rPr>
          <w:rFonts w:ascii="Google Sans Text" w:cs="Google Sans Text" w:eastAsia="Google Sans Text" w:hAnsi="Google Sans Text"/>
          <w:color w:val="1f1f1f"/>
          <w:rtl w:val="0"/>
        </w:rPr>
        <w:t xml:space="preserve">. Without a strong social layer or yield incentive, users had no reason to switch from the highly liquid XAUT/PAXG.</w:t>
      </w:r>
    </w:p>
    <w:p w:rsidR="00000000" w:rsidDel="00000000" w:rsidP="00000000" w:rsidRDefault="00000000" w:rsidRPr="00000000" w14:paraId="00000066">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Ghost Town Effect:</w:t>
      </w:r>
      <w:r w:rsidDel="00000000" w:rsidR="00000000" w:rsidRPr="00000000">
        <w:rPr>
          <w:rFonts w:ascii="Google Sans Text" w:cs="Google Sans Text" w:eastAsia="Google Sans Text" w:hAnsi="Google Sans Text"/>
          <w:color w:val="1f1f1f"/>
          <w:rtl w:val="0"/>
        </w:rPr>
        <w:t xml:space="preserve"> A token without a community is a ghost town. Cache Gold operated as a service provider, not a community. When the bear market hit, or when competition stiffened, there was no "Covenant" keeping users loyal. They simply migrated to where the liquidity was deep.</w:t>
      </w:r>
    </w:p>
    <w:p w:rsidR="00000000" w:rsidDel="00000000" w:rsidP="00000000" w:rsidRDefault="00000000" w:rsidRPr="00000000" w14:paraId="00000067">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Lesson:</w:t>
      </w:r>
      <w:r w:rsidDel="00000000" w:rsidR="00000000" w:rsidRPr="00000000">
        <w:rPr>
          <w:rFonts w:ascii="Google Sans Text" w:cs="Google Sans Text" w:eastAsia="Google Sans Text" w:hAnsi="Google Sans Text"/>
          <w:color w:val="1f1f1f"/>
          <w:rtl w:val="0"/>
        </w:rPr>
        <w:t xml:space="preserve"> Technology is not a moat. The </w:t>
      </w:r>
      <w:r w:rsidDel="00000000" w:rsidR="00000000" w:rsidRPr="00000000">
        <w:rPr>
          <w:rFonts w:ascii="Google Sans Text" w:cs="Google Sans Text" w:eastAsia="Google Sans Text" w:hAnsi="Google Sans Text"/>
          <w:b w:val="1"/>
          <w:bCs w:val="1"/>
          <w:color w:val="1f1f1f"/>
          <w:rtl w:val="0"/>
        </w:rPr>
        <w:t xml:space="preserve">Covenant Mesh</w:t>
      </w:r>
      <w:r w:rsidDel="00000000" w:rsidR="00000000" w:rsidRPr="00000000">
        <w:rPr>
          <w:rFonts w:ascii="Google Sans Text" w:cs="Google Sans Text" w:eastAsia="Google Sans Text" w:hAnsi="Google Sans Text"/>
          <w:color w:val="1f1f1f"/>
          <w:rtl w:val="0"/>
        </w:rPr>
        <w:t xml:space="preserve"> is the moat. By requiring social vetting and interaction to join the Pavilion Protocol, the project creates "sticky" users who are socially invested in the network's success. Additionally, the protocol must offer </w:t>
      </w:r>
      <w:r w:rsidDel="00000000" w:rsidR="00000000" w:rsidRPr="00000000">
        <w:rPr>
          <w:rFonts w:ascii="Google Sans Text" w:cs="Google Sans Text" w:eastAsia="Google Sans Text" w:hAnsi="Google Sans Text"/>
          <w:b w:val="1"/>
          <w:bCs w:val="1"/>
          <w:color w:val="1f1f1f"/>
          <w:rtl w:val="0"/>
        </w:rPr>
        <w:t xml:space="preserve">Native Yield</w:t>
      </w:r>
      <w:r w:rsidDel="00000000" w:rsidR="00000000" w:rsidRPr="00000000">
        <w:rPr>
          <w:rFonts w:ascii="Google Sans Text" w:cs="Google Sans Text" w:eastAsia="Google Sans Text" w:hAnsi="Google Sans Text"/>
          <w:color w:val="1f1f1f"/>
          <w:rtl w:val="0"/>
        </w:rPr>
        <w:t xml:space="preserve">. Kinesis succeeded where Cache failed partly because Kinesis shares fees (yield) with holders.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Pavilion must use its ERC-4626 structure to generate yield, giving users an economic reason to stay.</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Elinor Ostrom’s Principles of the Commons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failure of these projects can be viewed through the lens of Nobel laureate Elinor Ostrom's work on governing the commons.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6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Principle 1: Clearly Defined Boundaries.</w:t>
      </w:r>
      <w:r w:rsidDel="00000000" w:rsidR="00000000" w:rsidRPr="00000000">
        <w:rPr>
          <w:rFonts w:ascii="Google Sans Text" w:cs="Google Sans Text" w:eastAsia="Google Sans Text" w:hAnsi="Google Sans Text"/>
          <w:color w:val="1f1f1f"/>
          <w:rtl w:val="0"/>
        </w:rPr>
        <w:t xml:space="preserve"> DigixDAO had porous boundaries; anyone could buy DGD and vote. Pavilion's Covenant Mesh creates strict boundaries (Membership).</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6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Principle 2: Monitoring and Sanctions.</w:t>
      </w:r>
      <w:r w:rsidDel="00000000" w:rsidR="00000000" w:rsidRPr="00000000">
        <w:rPr>
          <w:rFonts w:ascii="Google Sans Text" w:cs="Google Sans Text" w:eastAsia="Google Sans Text" w:hAnsi="Google Sans Text"/>
          <w:color w:val="1f1f1f"/>
          <w:rtl w:val="0"/>
        </w:rPr>
        <w:t xml:space="preserve"> Centralized tokens rely on the issuer to monitor. Digix relied on code. Pavilion uses the Mesh for "Peer Monitoring." If a member acts maliciously (e.g., a custodian reporting false data), the Mesh can socially slash their reputation, revoking their status.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Covenant Integration: The "Covenant Mesh" Governance Layer</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Pavilion Protocol replaces the flawed "Coin Voting" model with "Covenant Voting," implemented via a </w:t>
      </w:r>
      <w:r w:rsidDel="00000000" w:rsidR="00000000" w:rsidRPr="00000000">
        <w:rPr>
          <w:rFonts w:ascii="Google Sans Text" w:cs="Google Sans Text" w:eastAsia="Google Sans Text" w:hAnsi="Google Sans Text"/>
          <w:b w:val="1"/>
          <w:bCs w:val="1"/>
          <w:color w:val="1f1f1f"/>
          <w:rtl w:val="0"/>
        </w:rPr>
        <w:t xml:space="preserve">Covenant Mesh</w:t>
      </w:r>
      <w:r w:rsidDel="00000000" w:rsidR="00000000" w:rsidRPr="00000000">
        <w:rPr>
          <w:rFonts w:ascii="Google Sans Text" w:cs="Google Sans Text" w:eastAsia="Google Sans Text" w:hAnsi="Google Sans Text"/>
          <w:color w:val="1f1f1f"/>
          <w:rtl w:val="0"/>
        </w:rPr>
        <w:t xml:space="preserve">. This is a decentralized identity and trust graph that solves the Sybil problem and aligns governance with long-term preservation rather than short-term arbitrage.</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Theory: Transitive Trust and The Graph</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Covenant Mesh is based on the concept of a </w:t>
      </w:r>
      <w:r w:rsidDel="00000000" w:rsidR="00000000" w:rsidRPr="00000000">
        <w:rPr>
          <w:rFonts w:ascii="Google Sans Text" w:cs="Google Sans Text" w:eastAsia="Google Sans Text" w:hAnsi="Google Sans Text"/>
          <w:b w:val="1"/>
          <w:bCs w:val="1"/>
          <w:color w:val="1f1f1f"/>
          <w:rtl w:val="0"/>
        </w:rPr>
        <w:t xml:space="preserve">Web of Trust (WoT)</w:t>
      </w:r>
      <w:r w:rsidDel="00000000" w:rsidR="00000000" w:rsidRPr="00000000">
        <w:rPr>
          <w:rFonts w:ascii="Google Sans Text" w:cs="Google Sans Text" w:eastAsia="Google Sans Text" w:hAnsi="Google Sans Text"/>
          <w:color w:val="1f1f1f"/>
          <w:rtl w:val="0"/>
        </w:rPr>
        <w:t xml:space="preserve">, similar to the architecture of </w:t>
      </w:r>
      <w:r w:rsidDel="00000000" w:rsidR="00000000" w:rsidRPr="00000000">
        <w:rPr>
          <w:rFonts w:ascii="Google Sans Text" w:cs="Google Sans Text" w:eastAsia="Google Sans Text" w:hAnsi="Google Sans Text"/>
          <w:b w:val="1"/>
          <w:bCs w:val="1"/>
          <w:color w:val="1f1f1f"/>
          <w:rtl w:val="0"/>
        </w:rPr>
        <w:t xml:space="preserve">Circles UBI</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BrightID</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7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Graph Structure:</w:t>
      </w:r>
      <w:r w:rsidDel="00000000" w:rsidR="00000000" w:rsidRPr="00000000">
        <w:rPr>
          <w:rFonts w:ascii="Google Sans Text" w:cs="Google Sans Text" w:eastAsia="Google Sans Text" w:hAnsi="Google Sans Text"/>
          <w:color w:val="1f1f1f"/>
          <w:rtl w:val="0"/>
        </w:rPr>
        <w:t xml:space="preserve"> Users are nodes; trust relationships are edges.</w:t>
      </w:r>
    </w:p>
    <w:p w:rsidR="00000000" w:rsidDel="00000000" w:rsidP="00000000" w:rsidRDefault="00000000" w:rsidRPr="00000000" w14:paraId="0000007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Transitive Trust:</w:t>
      </w:r>
      <w:r w:rsidDel="00000000" w:rsidR="00000000" w:rsidRPr="00000000">
        <w:rPr>
          <w:rFonts w:ascii="Google Sans Text" w:cs="Google Sans Text" w:eastAsia="Google Sans Text" w:hAnsi="Google Sans Text"/>
          <w:color w:val="1f1f1f"/>
          <w:rtl w:val="0"/>
        </w:rPr>
        <w:t xml:space="preserve"> If Alice trusts Bob, and Bob trusts Carol, then Alice has a transitive trust connection to Carol.</w:t>
      </w:r>
    </w:p>
    <w:p w:rsidR="00000000" w:rsidDel="00000000" w:rsidP="00000000" w:rsidRDefault="00000000" w:rsidRPr="00000000" w14:paraId="0000007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Trust Metric:</w:t>
      </w:r>
      <w:r w:rsidDel="00000000" w:rsidR="00000000" w:rsidRPr="00000000">
        <w:rPr>
          <w:rFonts w:ascii="Google Sans Text" w:cs="Google Sans Text" w:eastAsia="Google Sans Text" w:hAnsi="Google Sans Text"/>
          <w:color w:val="1f1f1f"/>
          <w:rtl w:val="0"/>
        </w:rPr>
        <w:t xml:space="preserve"> The protocol calculates a TrustScore for every account. This score is not based on how many tokens they hold, but on their centrality in the graph and the quality of their connections. A user vouched for by highly trusted Custodians or Auditors inherits a higher baseline trust.</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Sybil Resistance Without KYC</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One of the greatest challenges in decentralized finance is preventing Sybil attacks (one person creating 1,000 fake identities) without resorting to intrusive KYC that centralizes data.</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7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Covenant Solution:</w:t>
      </w:r>
      <w:r w:rsidDel="00000000" w:rsidR="00000000" w:rsidRPr="00000000">
        <w:rPr>
          <w:rFonts w:ascii="Google Sans Text" w:cs="Google Sans Text" w:eastAsia="Google Sans Text" w:hAnsi="Google Sans Text"/>
          <w:color w:val="1f1f1f"/>
          <w:rtl w:val="0"/>
        </w:rPr>
        <w:t xml:space="preserve"> To join the Pavilion Protocol, a user must be signed (vouched for) by N existing members.</w:t>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 of Attack:</w:t>
      </w:r>
      <w:r w:rsidDel="00000000" w:rsidR="00000000" w:rsidRPr="00000000">
        <w:rPr>
          <w:rFonts w:ascii="Google Sans Text" w:cs="Google Sans Text" w:eastAsia="Google Sans Text" w:hAnsi="Google Sans Text"/>
          <w:color w:val="1f1f1f"/>
          <w:rtl w:val="0"/>
        </w:rPr>
        <w:t xml:space="preserve"> To attack the governance layer, an attacker cannot just buy tokens. They must socially engineer N humans to vouch for their fake identities. As the graph grows, the "Attack Surface" becomes the social layer, which is far more resilient than a simple capital layer.</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BrightID Integration:</w:t>
      </w:r>
      <w:r w:rsidDel="00000000" w:rsidR="00000000" w:rsidRPr="00000000">
        <w:rPr>
          <w:rFonts w:ascii="Google Sans Text" w:cs="Google Sans Text" w:eastAsia="Google Sans Text" w:hAnsi="Google Sans Text"/>
          <w:color w:val="1f1f1f"/>
          <w:rtl w:val="0"/>
        </w:rPr>
        <w:t xml:space="preserve"> The protocol can leverage </w:t>
      </w:r>
      <w:r w:rsidDel="00000000" w:rsidR="00000000" w:rsidRPr="00000000">
        <w:rPr>
          <w:rFonts w:ascii="Google Sans Text" w:cs="Google Sans Text" w:eastAsia="Google Sans Text" w:hAnsi="Google Sans Text"/>
          <w:b w:val="1"/>
          <w:bCs w:val="1"/>
          <w:color w:val="1f1f1f"/>
          <w:rtl w:val="0"/>
        </w:rPr>
        <w:t xml:space="preserve">BrightID</w:t>
      </w:r>
      <w:r w:rsidDel="00000000" w:rsidR="00000000" w:rsidRPr="00000000">
        <w:rPr>
          <w:rFonts w:ascii="Google Sans Text" w:cs="Google Sans Text" w:eastAsia="Google Sans Text" w:hAnsi="Google Sans Text"/>
          <w:color w:val="1f1f1f"/>
          <w:rtl w:val="0"/>
        </w:rPr>
        <w:t xml:space="preserve"> as a foundational "Proof of Uniqueness" layer. BrightID conducts "verification parties" to ensure one-human-one-account.</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 The Covenant Registry smart contract would query the BrightID verification graph before allowing a new address to be inducted.</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Governance Mechanics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Governance in Pavilion is distinct from token holding.</w:t>
      </w:r>
    </w:p>
    <w:p w:rsidR="00000000" w:rsidDel="00000000" w:rsidP="00000000" w:rsidRDefault="00000000" w:rsidRPr="00000000" w14:paraId="0000007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Proposal Rights:</w:t>
      </w:r>
      <w:r w:rsidDel="00000000" w:rsidR="00000000" w:rsidRPr="00000000">
        <w:rPr>
          <w:rFonts w:ascii="Google Sans Text" w:cs="Google Sans Text" w:eastAsia="Google Sans Text" w:hAnsi="Google Sans Text"/>
          <w:color w:val="1f1f1f"/>
          <w:rtl w:val="0"/>
        </w:rPr>
        <w:t xml:space="preserve"> Only members with a TrustScore in the top 10% (the "Elders" or "Stewards") can submit proposals to change the Covenant (e.g., changing the fee structure or adding a new Vault location).</w:t>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Voting Weight:</w:t>
      </w:r>
      <w:r w:rsidDel="00000000" w:rsidR="00000000" w:rsidRPr="00000000">
        <w:rPr>
          <w:rFonts w:ascii="Google Sans Text" w:cs="Google Sans Text" w:eastAsia="Google Sans Text" w:hAnsi="Google Sans Text"/>
          <w:color w:val="1f1f1f"/>
          <w:rtl w:val="0"/>
        </w:rPr>
        <w:t xml:space="preserve"> Voting can be quadratic, based on the TrustScore. This ensures that those who are most socially embedded in the protocol—and thus have the most to lose from its failure—have the most say.</w:t>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DUNA Alignment:</w:t>
      </w:r>
      <w:r w:rsidDel="00000000" w:rsidR="00000000" w:rsidRPr="00000000">
        <w:rPr>
          <w:rFonts w:ascii="Google Sans Text" w:cs="Google Sans Text" w:eastAsia="Google Sans Text" w:hAnsi="Google Sans Text"/>
          <w:color w:val="1f1f1f"/>
          <w:rtl w:val="0"/>
        </w:rPr>
        <w:t xml:space="preserve"> This structure perfectly mirrors the DUNA legal requirements, where the "administrators" or "members" manage the association. The Trust Graph </w:t>
      </w:r>
      <w:r w:rsidDel="00000000" w:rsidR="00000000" w:rsidRPr="00000000">
        <w:rPr>
          <w:rFonts w:ascii="Google Sans Text" w:cs="Google Sans Text" w:eastAsia="Google Sans Text" w:hAnsi="Google Sans Text"/>
          <w:i w:val="1"/>
          <w:iCs w:val="1"/>
          <w:color w:val="1f1f1f"/>
          <w:rtl w:val="0"/>
        </w:rPr>
        <w:t xml:space="preserve">is</w:t>
      </w:r>
      <w:r w:rsidDel="00000000" w:rsidR="00000000" w:rsidRPr="00000000">
        <w:rPr>
          <w:rFonts w:ascii="Google Sans Text" w:cs="Google Sans Text" w:eastAsia="Google Sans Text" w:hAnsi="Google Sans Text"/>
          <w:color w:val="1f1f1f"/>
          <w:rtl w:val="0"/>
        </w:rPr>
        <w:t xml:space="preserve"> the membership roll of the DUNA.</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MVP Draft: PulseChain Smart Contract (Phase 1)</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implementation of the Pavilion Protocol requires a high-throughput, low-cost environment because "Graph Updates" (vouching, trust score calculation) are gas-intensive. </w:t>
      </w:r>
      <w:r w:rsidDel="00000000" w:rsidR="00000000" w:rsidRPr="00000000">
        <w:rPr>
          <w:rFonts w:ascii="Google Sans Text" w:cs="Google Sans Text" w:eastAsia="Google Sans Text" w:hAnsi="Google Sans Text"/>
          <w:b w:val="1"/>
          <w:bCs w:val="1"/>
          <w:color w:val="1f1f1f"/>
          <w:rtl w:val="0"/>
        </w:rPr>
        <w:t xml:space="preserve">PulseChain</w:t>
      </w:r>
      <w:r w:rsidDel="00000000" w:rsidR="00000000" w:rsidRPr="00000000">
        <w:rPr>
          <w:rFonts w:ascii="Google Sans Text" w:cs="Google Sans Text" w:eastAsia="Google Sans Text" w:hAnsi="Google Sans Text"/>
          <w:color w:val="1f1f1f"/>
          <w:rtl w:val="0"/>
        </w:rPr>
        <w:t xml:space="preserve"> is selected as the optimal deployment layer due to its low fee structure and active community of decentralized-value advocates.</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Why ERC-4626?</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MVP utilizes the </w:t>
      </w:r>
      <w:r w:rsidDel="00000000" w:rsidR="00000000" w:rsidRPr="00000000">
        <w:rPr>
          <w:rFonts w:ascii="Google Sans Text" w:cs="Google Sans Text" w:eastAsia="Google Sans Text" w:hAnsi="Google Sans Text"/>
          <w:b w:val="1"/>
          <w:bCs w:val="1"/>
          <w:color w:val="1f1f1f"/>
          <w:rtl w:val="0"/>
        </w:rPr>
        <w:t xml:space="preserve">ERC-4626 Tokenized Vault Standard</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Composability:</w:t>
      </w:r>
      <w:r w:rsidDel="00000000" w:rsidR="00000000" w:rsidRPr="00000000">
        <w:rPr>
          <w:rFonts w:ascii="Google Sans Text" w:cs="Google Sans Text" w:eastAsia="Google Sans Text" w:hAnsi="Google Sans Text"/>
          <w:color w:val="1f1f1f"/>
          <w:rtl w:val="0"/>
        </w:rPr>
        <w:t xml:space="preserve"> ERC-4626 is the gold standard for yield-bearing vaults. It standardizes the deposit, mint, withdraw, and redeem interfaces.</w:t>
      </w:r>
    </w:p>
    <w:p w:rsidR="00000000" w:rsidDel="00000000" w:rsidP="00000000" w:rsidRDefault="00000000" w:rsidRPr="00000000" w14:paraId="0000008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Efficiency:</w:t>
      </w:r>
      <w:r w:rsidDel="00000000" w:rsidR="00000000" w:rsidRPr="00000000">
        <w:rPr>
          <w:rFonts w:ascii="Google Sans Text" w:cs="Google Sans Text" w:eastAsia="Google Sans Text" w:hAnsi="Google Sans Text"/>
          <w:color w:val="1f1f1f"/>
          <w:rtl w:val="0"/>
        </w:rPr>
        <w:t xml:space="preserve"> It allows the Pavilion Vault to easily plug into other DeFi protocols (lending, collateral) if the Covenant allows, enabling the generation of yield to offset storage fees.</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Architecture Specification</w:t>
      </w:r>
    </w:p>
    <w:p w:rsidR="00000000" w:rsidDel="00000000" w:rsidP="00000000" w:rsidRDefault="00000000" w:rsidRPr="00000000" w14:paraId="0000008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CovenantRegistry.sol</w:t>
      </w:r>
      <w:r w:rsidDel="00000000" w:rsidR="00000000" w:rsidRPr="00000000">
        <w:rPr>
          <w:rFonts w:ascii="Google Sans Text" w:cs="Google Sans Text" w:eastAsia="Google Sans Text" w:hAnsi="Google Sans Text"/>
          <w:color w:val="1f1f1f"/>
          <w:rtl w:val="0"/>
        </w:rPr>
        <w:t xml:space="preserve">: A Soulbound Token (SBT) or Registry contract that maps address =&gt; MemberStruct. It handles the vouch(address) and revoke(address) logic.</w:t>
      </w:r>
    </w:p>
    <w:p w:rsidR="00000000" w:rsidDel="00000000" w:rsidP="00000000" w:rsidRDefault="00000000" w:rsidRPr="00000000" w14:paraId="0000008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PavilionVault.sol</w:t>
      </w:r>
      <w:r w:rsidDel="00000000" w:rsidR="00000000" w:rsidRPr="00000000">
        <w:rPr>
          <w:rFonts w:ascii="Google Sans Text" w:cs="Google Sans Text" w:eastAsia="Google Sans Text" w:hAnsi="Google Sans Text"/>
          <w:color w:val="1f1f1f"/>
          <w:rtl w:val="0"/>
        </w:rPr>
        <w:t xml:space="preserve">: The core ERC-4626 contract. It inherits AccessControl and checks CovenantRegistry for every state change.</w:t>
      </w:r>
    </w:p>
    <w:p w:rsidR="00000000" w:rsidDel="00000000" w:rsidP="00000000" w:rsidRDefault="00000000" w:rsidRPr="00000000" w14:paraId="0000008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ChainlinkOracle.sol</w:t>
      </w:r>
      <w:r w:rsidDel="00000000" w:rsidR="00000000" w:rsidRPr="00000000">
        <w:rPr>
          <w:rFonts w:ascii="Google Sans Text" w:cs="Google Sans Text" w:eastAsia="Google Sans Text" w:hAnsi="Google Sans Text"/>
          <w:color w:val="1f1f1f"/>
          <w:rtl w:val="0"/>
        </w:rPr>
        <w:t xml:space="preserve">: The interface for the Proof of Reserve feed.</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Functional Smart Contract Draft (Solidity 0.8.20)</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Solidity</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 SPDX-License-Identifier: MIT</w:t>
        <w:br w:type="textWrapping"/>
        <w:t xml:space="preserve">pragma solidity ^0.8.20;</w:t>
        <w:br w:type="textWrapping"/>
        <w:br w:type="textWrapping"/>
        <w:t xml:space="preserve">import "@openzeppelin/contracts/token/ERC20/extensions/ERC4626.sol";</w:t>
        <w:br w:type="textWrapping"/>
        <w:t xml:space="preserve">import "@openzeppelin/contracts/access/AccessControl.sol";</w:t>
        <w:br w:type="textWrapping"/>
        <w:t xml:space="preserve">import "@openzeppelin/contracts/security/ReentrancyGuard.sol";</w:t>
        <w:br w:type="textWrapping"/>
        <w:br w:type="textWrapping"/>
        <w:t xml:space="preserve">// INTERFACE: The Covenant Mesh</w:t>
        <w:br w:type="textWrapping"/>
        <w:t xml:space="preserve">interface ICovenantRegistry {</w:t>
        <w:br w:type="textWrapping"/>
        <w:t xml:space="preserve">    function isMember(address _account) external view returns (bool);</w:t>
        <w:br w:type="textWrapping"/>
        <w:t xml:space="preserve">    function getTrustScore(address _account) external view returns (uint256);</w:t>
        <w:br w:type="textWrapping"/>
        <w:t xml:space="preserve">}</w:t>
        <w:br w:type="textWrapping"/>
        <w:br w:type="textWrapping"/>
        <w:t xml:space="preserve">// INTERFACE: Chainlink Proof of Reserve</w:t>
        <w:br w:type="textWrapping"/>
        <w:t xml:space="preserve">interface IPoRFeed {</w:t>
        <w:br w:type="textWrapping"/>
        <w:t xml:space="preserve">    function latestAnswer() external view returns (int256);</w:t>
        <w:br w:type="textWrapping"/>
        <w:t xml:space="preserve">    function latestTimestamp() external view returns (uint256);</w:t>
        <w:br w:type="textWrapping"/>
        <w:t xml:space="preserve">}</w:t>
        <w:br w:type="textWrapping"/>
        <w:br w:type="textWrapping"/>
        <w:t xml:space="preserve">/**</w:t>
        <w:br w:type="textWrapping"/>
        <w:t xml:space="preserve"> * @title PavilionVault</w:t>
        <w:br w:type="textWrapping"/>
        <w:t xml:space="preserve"> * @notice A Covenant-Gated, Asset-Backed ERC4626 Vault on PulseChain.</w:t>
        <w:br w:type="textWrapping"/>
        <w:t xml:space="preserve"> * @dev Implements DUNA 'Private Association' logic and Chainlink PoR checks.</w:t>
        <w:br w:type="textWrapping"/>
        <w:t xml:space="preserve"> */</w:t>
        <w:br w:type="textWrapping"/>
        <w:t xml:space="preserve">contract PavilionVault is ERC4626, AccessControl, ReentrancyGuard {</w:t>
        <w:br w:type="textWrapping"/>
        <w:t xml:space="preserve">    </w:t>
        <w:br w:type="textWrapping"/>
        <w:t xml:space="preserve">    // -----------------------------------------------------------------------</w:t>
        <w:br w:type="textWrapping"/>
        <w:t xml:space="preserve">    // STATE VARIABLES</w:t>
        <w:br w:type="textWrapping"/>
        <w:t xml:space="preserve">    // -----------------------------------------------------------------------</w:t>
        <w:br w:type="textWrapping"/>
        <w:t xml:space="preserve">    ICovenantRegistry public immutable covenantRegistry;</w:t>
        <w:br w:type="textWrapping"/>
        <w:t xml:space="preserve">    IPoRFeed public immutable porFeed;</w:t>
        <w:br w:type="textWrapping"/>
        <w:t xml:space="preserve">    </w:t>
        <w:br w:type="textWrapping"/>
        <w:t xml:space="preserve">    // Roles for Operational Security</w:t>
        <w:br w:type="textWrapping"/>
        <w:t xml:space="preserve">    bytes32 public constant CUSTODIAN_ROLE = keccak256("CUSTODIAN_ROLE");</w:t>
        <w:br w:type="textWrapping"/>
        <w:t xml:space="preserve">    bytes32 public constant AUDITOR_ROLE = keccak256("AUDITOR_ROLE");</w:t>
        <w:br w:type="textWrapping"/>
        <w:br w:type="textWrapping"/>
        <w:t xml:space="preserve">    // Events for Off-Chain Coordination</w:t>
        <w:br w:type="textWrapping"/>
        <w:t xml:space="preserve">    event PhysicalRedemptionRequested(address indexed member, uint256 amount);</w:t>
        <w:br w:type="textWrapping"/>
        <w:t xml:space="preserve">    event PhysicalRedemptionProcessed(address indexed member, uint256 amount, string trackingId);</w:t>
        <w:br w:type="textWrapping"/>
        <w:t xml:space="preserve">    event ReserveSync(uint256 onChainSupply, int256 offChainReserves);</w:t>
        <w:br w:type="textWrapping"/>
        <w:br w:type="textWrapping"/>
        <w:t xml:space="preserve">    // -----------------------------------------------------------------------</w:t>
        <w:br w:type="textWrapping"/>
        <w:t xml:space="preserve">    // CONSTRUCTOR</w:t>
        <w:br w:type="textWrapping"/>
        <w:t xml:space="preserve">    // -----------------------------------------------------------------------</w:t>
        <w:br w:type="textWrapping"/>
        <w:t xml:space="preserve">    constructor(</w:t>
        <w:br w:type="textWrapping"/>
        <w:t xml:space="preserve">        IERC20 _asset, </w:t>
        <w:br w:type="textWrapping"/>
        <w:t xml:space="preserve">        string memory _name, </w:t>
        <w:br w:type="textWrapping"/>
        <w:t xml:space="preserve">        string memory _symbol, </w:t>
        <w:br w:type="textWrapping"/>
        <w:t xml:space="preserve">        address _registryAddress,</w:t>
        <w:br w:type="textWrapping"/>
        <w:t xml:space="preserve">        address _porFeedAddress</w:t>
        <w:br w:type="textWrapping"/>
        <w:t xml:space="preserve">    ) ERC4626(_asset) ERC20(_name, _symbol) {</w:t>
        <w:br w:type="textWrapping"/>
        <w:t xml:space="preserve">        covenantRegistry = ICovenantRegistry(_registryAddress);</w:t>
        <w:br w:type="textWrapping"/>
        <w:t xml:space="preserve">        porFeed = IPoRFeed(_porFeedAddress);</w:t>
        <w:br w:type="textWrapping"/>
        <w:t xml:space="preserve">        </w:t>
        <w:br w:type="textWrapping"/>
        <w:t xml:space="preserve">        // Setup Admin (MultiSig in production)</w:t>
        <w:br w:type="textWrapping"/>
        <w:t xml:space="preserve">        _grantRole(DEFAULT_ADMIN_ROLE, msg.sender);</w:t>
        <w:br w:type="textWrapping"/>
        <w:t xml:space="preserve">    }</w:t>
        <w:br w:type="textWrapping"/>
        <w:br w:type="textWrapping"/>
        <w:t xml:space="preserve">    // -----------------------------------------------------------------------</w:t>
        <w:br w:type="textWrapping"/>
        <w:t xml:space="preserve">    // MODIFIERS</w:t>
        <w:br w:type="textWrapping"/>
        <w:t xml:space="preserve">    // -----------------------------------------------------------------------</w:t>
        <w:br w:type="textWrapping"/>
        <w:t xml:space="preserve">    /**</w:t>
        <w:br w:type="textWrapping"/>
        <w:t xml:space="preserve">     * @dev Enforces the "Private Membership Association" boundary.</w:t>
        <w:br w:type="textWrapping"/>
        <w:t xml:space="preserve">     *      Only inducted members can hold or interact with the Vault.</w:t>
        <w:br w:type="textWrapping"/>
        <w:t xml:space="preserve">     */</w:t>
        <w:br w:type="textWrapping"/>
        <w:t xml:space="preserve">    modifier onlyMember() {</w:t>
        <w:br w:type="textWrapping"/>
        <w:t xml:space="preserve">        require(covenantRegistry.isMember(msg.sender), "Covenant: Access Denied. Join the Mesh.");</w:t>
        <w:br w:type="textWrapping"/>
        <w:t xml:space="preserve">        _;</w:t>
        <w:br w:type="textWrapping"/>
        <w:t xml:space="preserve">    }</w:t>
        <w:br w:type="textWrapping"/>
        <w:br w:type="textWrapping"/>
        <w:t xml:space="preserve">    /**</w:t>
        <w:br w:type="textWrapping"/>
        <w:t xml:space="preserve">     * @dev Enforces Proof of Reserve (PoR) integrity.</w:t>
        <w:br w:type="textWrapping"/>
        <w:t xml:space="preserve">     *      Prevents minting if it would exceed physical reserves.</w:t>
        <w:br w:type="textWrapping"/>
        <w:t xml:space="preserve">     */</w:t>
        <w:br w:type="textWrapping"/>
        <w:t xml:space="preserve">    modifier checkReserves(uint256 assetsToAdd) {</w:t>
        <w:br w:type="textWrapping"/>
        <w:t xml:space="preserve">        int256 physicalReserves = porFeed.latestAnswer();</w:t>
        <w:br w:type="textWrapping"/>
        <w:t xml:space="preserve">        uint256 currentSupply = totalAssets();</w:t>
        <w:br w:type="textWrapping"/>
        <w:t xml:space="preserve">        require(physicalReserves &gt; 0, "PoR: Invalid feed data");</w:t>
        <w:br w:type="textWrapping"/>
        <w:t xml:space="preserve">        require(currentSupply + assetsToAdd &lt;= uint256(physicalReserves), "PoR: Insufficient Physical Reserves");</w:t>
        <w:br w:type="textWrapping"/>
        <w:t xml:space="preserve">        _;</w:t>
        <w:br w:type="textWrapping"/>
        <w:t xml:space="preserve">    }</w:t>
        <w:br w:type="textWrapping"/>
        <w:br w:type="textWrapping"/>
        <w:t xml:space="preserve">    // -----------------------------------------------------------------------</w:t>
        <w:br w:type="textWrapping"/>
        <w:t xml:space="preserve">    // CORE ERC4626 OVERRIDES (Gated)</w:t>
        <w:br w:type="textWrapping"/>
        <w:t xml:space="preserve">    // -----------------------------------------------------------------------</w:t>
        <w:br w:type="textWrapping"/>
        <w:t xml:space="preserve">    </w:t>
        <w:br w:type="textWrapping"/>
        <w:t xml:space="preserve">    function deposit(uint256 assets, address receiver) </w:t>
        <w:br w:type="textWrapping"/>
        <w:t xml:space="preserve">        public </w:t>
        <w:br w:type="textWrapping"/>
        <w:t xml:space="preserve">        override </w:t>
        <w:br w:type="textWrapping"/>
        <w:t xml:space="preserve">        onlyMember </w:t>
        <w:br w:type="textWrapping"/>
        <w:t xml:space="preserve">        checkReserves(assets) </w:t>
        <w:br w:type="textWrapping"/>
        <w:t xml:space="preserve">        nonReentrant </w:t>
        <w:br w:type="textWrapping"/>
        <w:t xml:space="preserve">        returns (uint256) </w:t>
        <w:br w:type="textWrapping"/>
        <w:t xml:space="preserve">    {</w:t>
        <w:br w:type="textWrapping"/>
        <w:t xml:space="preserve">        // Ensure the receiver is also a member (Closed Loop)</w:t>
        <w:br w:type="textWrapping"/>
        <w:t xml:space="preserve">        require(covenantRegistry.isMember(receiver), "Covenant: Receiver must be a member");</w:t>
        <w:br w:type="textWrapping"/>
        <w:t xml:space="preserve">        return super.deposit(assets, receiver);</w:t>
        <w:br w:type="textWrapping"/>
        <w:t xml:space="preserve">    }</w:t>
        <w:br w:type="textWrapping"/>
        <w:br w:type="textWrapping"/>
        <w:t xml:space="preserve">    function mint(uint256 shares, address receiver) </w:t>
        <w:br w:type="textWrapping"/>
        <w:t xml:space="preserve">        public </w:t>
        <w:br w:type="textWrapping"/>
        <w:t xml:space="preserve">        override </w:t>
        <w:br w:type="textWrapping"/>
        <w:t xml:space="preserve">        onlyMember </w:t>
        <w:br w:type="textWrapping"/>
        <w:t xml:space="preserve">        checkReserves(previewMint(shares)) </w:t>
        <w:br w:type="textWrapping"/>
        <w:t xml:space="preserve">        nonReentrant </w:t>
        <w:br w:type="textWrapping"/>
        <w:t xml:space="preserve">        returns (uint256) </w:t>
        <w:br w:type="textWrapping"/>
        <w:t xml:space="preserve">    {</w:t>
        <w:br w:type="textWrapping"/>
        <w:t xml:space="preserve">        require(covenantRegistry.isMember(receiver), "Covenant: Receiver must be a member");</w:t>
        <w:br w:type="textWrapping"/>
        <w:t xml:space="preserve">        return super.mint(shares, receiver);</w:t>
        <w:br w:type="textWrapping"/>
        <w:t xml:space="preserve">    }</w:t>
        <w:br w:type="textWrapping"/>
        <w:br w:type="textWrapping"/>
        <w:t xml:space="preserve">    function withdraw(uint256 assets, address receiver, address owner) </w:t>
        <w:br w:type="textWrapping"/>
        <w:t xml:space="preserve">        public </w:t>
        <w:br w:type="textWrapping"/>
        <w:t xml:space="preserve">        override </w:t>
        <w:br w:type="textWrapping"/>
        <w:t xml:space="preserve">        onlyMember </w:t>
        <w:br w:type="textWrapping"/>
        <w:t xml:space="preserve">        nonReentrant </w:t>
        <w:br w:type="textWrapping"/>
        <w:t xml:space="preserve">        returns (uint256) </w:t>
        <w:br w:type="textWrapping"/>
        <w:t xml:space="preserve">    {</w:t>
        <w:br w:type="textWrapping"/>
        <w:t xml:space="preserve">        require(covenantRegistry.isMember(receiver), "Covenant: Receiver must be a member");</w:t>
        <w:br w:type="textWrapping"/>
        <w:t xml:space="preserve">        return super.withdraw(assets, receiver, owner);</w:t>
        <w:br w:type="textWrapping"/>
        <w:t xml:space="preserve">    }</w:t>
        <w:br w:type="textWrapping"/>
        <w:br w:type="textWrapping"/>
        <w:t xml:space="preserve">    // -----------------------------------------------------------------------</w:t>
        <w:br w:type="textWrapping"/>
        <w:t xml:space="preserve">    // PHYSICAL REDEMPTION LOGIC</w:t>
        <w:br w:type="textWrapping"/>
        <w:t xml:space="preserve">    // -----------------------------------------------------------------------</w:t>
        <w:br w:type="textWrapping"/>
        <w:br w:type="textWrapping"/>
        <w:t xml:space="preserve">    /**</w:t>
        <w:br w:type="textWrapping"/>
        <w:t xml:space="preserve">     * @notice Initiates the physical redemption process (Burn-to-Redeem).</w:t>
        <w:br w:type="textWrapping"/>
        <w:t xml:space="preserve">     * @dev Burns tokens immediately. The Custodian observes the event to ship metal.</w:t>
        <w:br w:type="textWrapping"/>
        <w:t xml:space="preserve">     *      This is the 'Tier 2' redemption for small bars.</w:t>
        <w:br w:type="textWrapping"/>
        <w:t xml:space="preserve">     */</w:t>
        <w:br w:type="textWrapping"/>
        <w:t xml:space="preserve">    function requestPhysicalRedemption(uint256 shares) external onlyMember nonReentrant {</w:t>
        <w:br w:type="textWrapping"/>
        <w:t xml:space="preserve">        uint256 assets = previewRedeem(shares);</w:t>
        <w:br w:type="textWrapping"/>
        <w:t xml:space="preserve">        require(assets &gt; 0, "Redemption: Zero amount");</w:t>
        <w:br w:type="textWrapping"/>
        <w:br w:type="textWrapping"/>
        <w:t xml:space="preserve">        // BURN the digital claim</w:t>
        <w:br w:type="textWrapping"/>
        <w:t xml:space="preserve">        _burn(msg.sender, shares);</w:t>
        <w:br w:type="textWrapping"/>
        <w:br w:type="textWrapping"/>
        <w:t xml:space="preserve">        emit PhysicalRedemptionRequested(msg.sender, assets);</w:t>
        <w:br w:type="textWrapping"/>
        <w:t xml:space="preserve">    }</w:t>
        <w:br w:type="textWrapping"/>
        <w:br w:type="textWrapping"/>
        <w:t xml:space="preserve">    /**</w:t>
        <w:br w:type="textWrapping"/>
        <w:t xml:space="preserve">     * @notice Custodian confirms shipment.</w:t>
        <w:br w:type="textWrapping"/>
        <w:t xml:space="preserve">     * @param _trackingId Logistics tracking number for transparency.</w:t>
        <w:br w:type="textWrapping"/>
        <w:t xml:space="preserve">     */</w:t>
        <w:br w:type="textWrapping"/>
        <w:t xml:space="preserve">    function processRedemption(address _member, uint256 _amount, string calldata _trackingId) </w:t>
        <w:br w:type="textWrapping"/>
        <w:t xml:space="preserve">        external </w:t>
        <w:br w:type="textWrapping"/>
        <w:t xml:space="preserve">        onlyRole(CUSTODIAN_ROLE) </w:t>
        <w:br w:type="textWrapping"/>
        <w:t xml:space="preserve">    {</w:t>
        <w:br w:type="textWrapping"/>
        <w:t xml:space="preserve">        emit PhysicalRedemptionProcessed(_member, _amount, _trackingId);</w:t>
        <w:br w:type="textWrapping"/>
        <w:t xml:space="preserve">    }</w:t>
        <w:br w:type="textWrapping"/>
        <w:t xml:space="preserve">}</w:t>
        <w:br w:type="textWrapping"/>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 Technical Explanation of MVP</w:t>
      </w:r>
    </w:p>
    <w:p w:rsidR="00000000" w:rsidDel="00000000" w:rsidP="00000000" w:rsidRDefault="00000000" w:rsidRPr="00000000" w14:paraId="0000008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Burn-to-Redeem Pattern:</w:t>
      </w:r>
      <w:r w:rsidDel="00000000" w:rsidR="00000000" w:rsidRPr="00000000">
        <w:rPr>
          <w:rFonts w:ascii="Google Sans Text" w:cs="Google Sans Text" w:eastAsia="Google Sans Text" w:hAnsi="Google Sans Text"/>
          <w:color w:val="1f1f1f"/>
          <w:rtl w:val="0"/>
        </w:rPr>
        <w:t xml:space="preserve"> The requestPhysicalRedemption function implements a "Burn-to-Redeem" pattern. The user destroys their digital tokens </w:t>
      </w:r>
      <w:r w:rsidDel="00000000" w:rsidR="00000000" w:rsidRPr="00000000">
        <w:rPr>
          <w:rFonts w:ascii="Google Sans Text" w:cs="Google Sans Text" w:eastAsia="Google Sans Text" w:hAnsi="Google Sans Text"/>
          <w:i w:val="1"/>
          <w:iCs w:val="1"/>
          <w:color w:val="1f1f1f"/>
          <w:rtl w:val="0"/>
        </w:rPr>
        <w:t xml:space="preserve">first</w:t>
      </w:r>
      <w:r w:rsidDel="00000000" w:rsidR="00000000" w:rsidRPr="00000000">
        <w:rPr>
          <w:rFonts w:ascii="Google Sans Text" w:cs="Google Sans Text" w:eastAsia="Google Sans Text" w:hAnsi="Google Sans Text"/>
          <w:color w:val="1f1f1f"/>
          <w:rtl w:val="0"/>
        </w:rPr>
        <w:t xml:space="preserve">. This is critical for preventing "double-spend" attacks where a user might try to redeem the gold and then quickly sell the tokens on a DEX. The event PhysicalRedemptionRequested acts as the trigger for the off-chain logistics provider.</w:t>
      </w:r>
    </w:p>
    <w:p w:rsidR="00000000" w:rsidDel="00000000" w:rsidP="00000000" w:rsidRDefault="00000000" w:rsidRPr="00000000" w14:paraId="0000008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PoR Gating:</w:t>
      </w:r>
      <w:r w:rsidDel="00000000" w:rsidR="00000000" w:rsidRPr="00000000">
        <w:rPr>
          <w:rFonts w:ascii="Google Sans Text" w:cs="Google Sans Text" w:eastAsia="Google Sans Text" w:hAnsi="Google Sans Text"/>
          <w:color w:val="1f1f1f"/>
          <w:rtl w:val="0"/>
        </w:rPr>
        <w:t xml:space="preserve"> The checkReserves modifier is the security heartbeat. It calls porFeed.latestAnswer() before any deposit or mint. If the IoT sensors in the vault show 100kg of gold, and the contract holds tokens representing 99kg, a user can only deposit 1kg. If they try to deposit 2kg, the transaction reverts. This mathematically enforces the 1:1 backing ratio.</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9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Member-Only Loop:</w:t>
      </w:r>
      <w:r w:rsidDel="00000000" w:rsidR="00000000" w:rsidRPr="00000000">
        <w:rPr>
          <w:rFonts w:ascii="Google Sans Text" w:cs="Google Sans Text" w:eastAsia="Google Sans Text" w:hAnsi="Google Sans Text"/>
          <w:color w:val="1f1f1f"/>
          <w:rtl w:val="0"/>
        </w:rPr>
        <w:t xml:space="preserve"> By overriding deposit, mint, and withdraw to check covenantRegistry.isMember, the contract technically enforces the DUNA's legal boundary. The asset cannot leak to non-members, preserving the "Private Association" status.</w:t>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Strategic Implementation and Conclusion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design of the Pavilion Protocol is not merely an engineering challenge; it is a socio-economic maneuver to reclaim the sovereignty of hard assets in the digital age.</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Strategic Roadmap</w:t>
      </w:r>
    </w:p>
    <w:p w:rsidR="00000000" w:rsidDel="00000000" w:rsidP="00000000" w:rsidRDefault="00000000" w:rsidRPr="00000000" w14:paraId="0000009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1: Genesis (The DUNA Formation):</w:t>
      </w:r>
    </w:p>
    <w:p w:rsidR="00000000" w:rsidDel="00000000" w:rsidP="00000000" w:rsidRDefault="00000000" w:rsidRPr="00000000" w14:paraId="00000095">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Form the Wyoming DUNA legally.</w:t>
      </w:r>
    </w:p>
    <w:p w:rsidR="00000000" w:rsidDel="00000000" w:rsidP="00000000" w:rsidRDefault="00000000" w:rsidRPr="00000000" w14:paraId="0000009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Establish the "Genesis Mesh"—a group of 50-100 high-trust individuals (developers, auditors, bullion dealers).</w:t>
      </w:r>
    </w:p>
    <w:p w:rsidR="00000000" w:rsidDel="00000000" w:rsidP="00000000" w:rsidRDefault="00000000" w:rsidRPr="00000000" w14:paraId="00000097">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Deploy the CovenantRegistry and PavilionVault on PulseChain.</w:t>
      </w:r>
    </w:p>
    <w:p w:rsidR="00000000" w:rsidDel="00000000" w:rsidP="00000000" w:rsidRDefault="00000000" w:rsidRPr="00000000" w14:paraId="00000098">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Secure the first 10kg of gold in a partner vault equipped with Chainlink-compatible IoT sensors.</w:t>
      </w:r>
    </w:p>
    <w:p w:rsidR="00000000" w:rsidDel="00000000" w:rsidP="00000000" w:rsidRDefault="00000000" w:rsidRPr="00000000" w14:paraId="0000009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2: The Trust Expansion:</w:t>
      </w:r>
    </w:p>
    <w:p w:rsidR="00000000" w:rsidDel="00000000" w:rsidP="00000000" w:rsidRDefault="00000000" w:rsidRPr="00000000" w14:paraId="0000009A">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Open the Covenant Mesh for "Vouched" expansion. Genesis members invite trusted peers.</w:t>
      </w:r>
    </w:p>
    <w:p w:rsidR="00000000" w:rsidDel="00000000" w:rsidP="00000000" w:rsidRDefault="00000000" w:rsidRPr="00000000" w14:paraId="0000009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Implement </w:t>
      </w:r>
      <w:r w:rsidDel="00000000" w:rsidR="00000000" w:rsidRPr="00000000">
        <w:rPr>
          <w:rFonts w:ascii="Google Sans Text" w:cs="Google Sans Text" w:eastAsia="Google Sans Text" w:hAnsi="Google Sans Text"/>
          <w:b w:val="1"/>
          <w:bCs w:val="1"/>
          <w:color w:val="1f1f1f"/>
          <w:rtl w:val="0"/>
        </w:rPr>
        <w:t xml:space="preserve">BrightID</w:t>
      </w:r>
      <w:r w:rsidDel="00000000" w:rsidR="00000000" w:rsidRPr="00000000">
        <w:rPr>
          <w:rFonts w:ascii="Google Sans Text" w:cs="Google Sans Text" w:eastAsia="Google Sans Text" w:hAnsi="Google Sans Text"/>
          <w:color w:val="1f1f1f"/>
          <w:rtl w:val="0"/>
        </w:rPr>
        <w:t xml:space="preserve"> verification parties to scale the "Proof of Human" element without centralized KYC.</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9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Activate the "Buffer Pool" for 100g redemptions to demonstrate retail utility.</w:t>
      </w:r>
    </w:p>
    <w:p w:rsidR="00000000" w:rsidDel="00000000" w:rsidP="00000000" w:rsidRDefault="00000000" w:rsidRPr="00000000" w14:paraId="0000009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3: The Yield Economy:</w:t>
      </w:r>
    </w:p>
    <w:p w:rsidR="00000000" w:rsidDel="00000000" w:rsidP="00000000" w:rsidRDefault="00000000" w:rsidRPr="00000000" w14:paraId="0000009E">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Once TVL (Total Value Locked) reaches critical mass ($10M+), deploy a portion of the reserve (e.g., 20%) into low-risk, over-collateralized lending markets on PulseChain (if compatible with DUNA regulations) or lease gold to jewelers/industry via the Covenant.</w:t>
      </w:r>
    </w:p>
    <w:p w:rsidR="00000000" w:rsidDel="00000000" w:rsidP="00000000" w:rsidRDefault="00000000" w:rsidRPr="00000000" w14:paraId="0000009F">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Distribute yield to members, mimicking the Kinesis model but with decentralized governance.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Conclusion</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Pavilion Protocol represents a synthesis of historical lessons and futuristic technology. By analyzing the high barriers of PAXG, the failed incentives of DigixDAO, and the regulatory hostility of the US market, this report has derived a robust architecture. The </w:t>
      </w:r>
      <w:r w:rsidDel="00000000" w:rsidR="00000000" w:rsidRPr="00000000">
        <w:rPr>
          <w:rFonts w:ascii="Google Sans Text" w:cs="Google Sans Text" w:eastAsia="Google Sans Text" w:hAnsi="Google Sans Text"/>
          <w:b w:val="1"/>
          <w:bCs w:val="1"/>
          <w:color w:val="1f1f1f"/>
          <w:rtl w:val="0"/>
        </w:rPr>
        <w:t xml:space="preserve">Covenant Mesh</w:t>
      </w:r>
      <w:r w:rsidDel="00000000" w:rsidR="00000000" w:rsidRPr="00000000">
        <w:rPr>
          <w:rFonts w:ascii="Google Sans Text" w:cs="Google Sans Text" w:eastAsia="Google Sans Text" w:hAnsi="Google Sans Text"/>
          <w:color w:val="1f1f1f"/>
          <w:rtl w:val="0"/>
        </w:rPr>
        <w:t xml:space="preserve"> solves the social coordination problem; the </w:t>
      </w:r>
      <w:r w:rsidDel="00000000" w:rsidR="00000000" w:rsidRPr="00000000">
        <w:rPr>
          <w:rFonts w:ascii="Google Sans Text" w:cs="Google Sans Text" w:eastAsia="Google Sans Text" w:hAnsi="Google Sans Text"/>
          <w:b w:val="1"/>
          <w:bCs w:val="1"/>
          <w:color w:val="1f1f1f"/>
          <w:rtl w:val="0"/>
        </w:rPr>
        <w:t xml:space="preserve">DUNA/PMA</w:t>
      </w:r>
      <w:r w:rsidDel="00000000" w:rsidR="00000000" w:rsidRPr="00000000">
        <w:rPr>
          <w:rFonts w:ascii="Google Sans Text" w:cs="Google Sans Text" w:eastAsia="Google Sans Text" w:hAnsi="Google Sans Text"/>
          <w:color w:val="1f1f1f"/>
          <w:rtl w:val="0"/>
        </w:rPr>
        <w:t xml:space="preserve"> structure solves the regulatory problem; and the </w:t>
      </w:r>
      <w:r w:rsidDel="00000000" w:rsidR="00000000" w:rsidRPr="00000000">
        <w:rPr>
          <w:rFonts w:ascii="Google Sans Text" w:cs="Google Sans Text" w:eastAsia="Google Sans Text" w:hAnsi="Google Sans Text"/>
          <w:b w:val="1"/>
          <w:bCs w:val="1"/>
          <w:color w:val="1f1f1f"/>
          <w:rtl w:val="0"/>
        </w:rPr>
        <w:t xml:space="preserve">ERC-4626/PulseChain</w:t>
      </w:r>
      <w:r w:rsidDel="00000000" w:rsidR="00000000" w:rsidRPr="00000000">
        <w:rPr>
          <w:rFonts w:ascii="Google Sans Text" w:cs="Google Sans Text" w:eastAsia="Google Sans Text" w:hAnsi="Google Sans Text"/>
          <w:color w:val="1f1f1f"/>
          <w:rtl w:val="0"/>
        </w:rPr>
        <w:t xml:space="preserve"> stack solves the economic problem.</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result is a treasury system that is not just "backed" by assets, but </w:t>
      </w:r>
      <w:r w:rsidDel="00000000" w:rsidR="00000000" w:rsidRPr="00000000">
        <w:rPr>
          <w:rFonts w:ascii="Google Sans Text" w:cs="Google Sans Text" w:eastAsia="Google Sans Text" w:hAnsi="Google Sans Text"/>
          <w:b w:val="1"/>
          <w:bCs w:val="1"/>
          <w:color w:val="1f1f1f"/>
          <w:rtl w:val="0"/>
        </w:rPr>
        <w:t xml:space="preserve">governed</w:t>
      </w:r>
      <w:r w:rsidDel="00000000" w:rsidR="00000000" w:rsidRPr="00000000">
        <w:rPr>
          <w:rFonts w:ascii="Google Sans Text" w:cs="Google Sans Text" w:eastAsia="Google Sans Text" w:hAnsi="Google Sans Text"/>
          <w:color w:val="1f1f1f"/>
          <w:rtl w:val="0"/>
        </w:rPr>
        <w:t xml:space="preserve"> by the people who hold them—a true return to the principles of sound money and sovereign association. This is the blueprint for the next generation of Real-World Assets.</w:t>
      </w:r>
    </w:p>
    <w:p w:rsidR="00000000" w:rsidDel="00000000" w:rsidP="00000000" w:rsidRDefault="00000000" w:rsidRPr="00000000" w14:paraId="000000A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Gold-Backed Tokens 2025: Best Commodity Crypto Picks, accessed December 25, 2025, </w:t>
      </w:r>
      <w:hyperlink r:id="rId6">
        <w:r w:rsidDel="00000000" w:rsidR="00000000" w:rsidRPr="00000000">
          <w:rPr>
            <w:rFonts w:ascii="Google Sans" w:cs="Google Sans" w:eastAsia="Google Sans" w:hAnsi="Google Sans"/>
            <w:color w:val="0000ee"/>
            <w:sz w:val="24"/>
            <w:szCs w:val="24"/>
            <w:u w:val="single"/>
            <w:rtl w:val="0"/>
          </w:rPr>
          <w:t xml:space="preserve">https://www.tokenmetrics.com/blog/top-gold-commodity-backed-tokens-2025?74e29fd5_page=80</w:t>
        </w:r>
      </w:hyperlink>
      <w:r w:rsidDel="00000000" w:rsidR="00000000" w:rsidRPr="00000000">
        <w:rPr>
          <w:rtl w:val="0"/>
        </w:rPr>
      </w:r>
    </w:p>
    <w:p w:rsidR="00000000" w:rsidDel="00000000" w:rsidP="00000000" w:rsidRDefault="00000000" w:rsidRPr="00000000" w14:paraId="000000A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XAUT VS PAXG? The Great Secret of Crypto Gold | MooKing 牛國王 on Binance Square, accessed December 25, 2025, </w:t>
      </w:r>
      <w:hyperlink r:id="rId7">
        <w:r w:rsidDel="00000000" w:rsidR="00000000" w:rsidRPr="00000000">
          <w:rPr>
            <w:rFonts w:ascii="Google Sans" w:cs="Google Sans" w:eastAsia="Google Sans" w:hAnsi="Google Sans"/>
            <w:color w:val="0000ee"/>
            <w:sz w:val="24"/>
            <w:szCs w:val="24"/>
            <w:u w:val="single"/>
            <w:rtl w:val="0"/>
          </w:rPr>
          <w:t xml:space="preserve">https://www.binance.com/en/square/post/28888731575690</w:t>
        </w:r>
      </w:hyperlink>
      <w:r w:rsidDel="00000000" w:rsidR="00000000" w:rsidRPr="00000000">
        <w:rPr>
          <w:rtl w:val="0"/>
        </w:rPr>
      </w:r>
    </w:p>
    <w:p w:rsidR="00000000" w:rsidDel="00000000" w:rsidP="00000000" w:rsidRDefault="00000000" w:rsidRPr="00000000" w14:paraId="000000A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Frequently Asked Questions | Alpha Bullion, accessed December 25, 2025, </w:t>
      </w:r>
      <w:hyperlink r:id="rId8">
        <w:r w:rsidDel="00000000" w:rsidR="00000000" w:rsidRPr="00000000">
          <w:rPr>
            <w:rFonts w:ascii="Google Sans" w:cs="Google Sans" w:eastAsia="Google Sans" w:hAnsi="Google Sans"/>
            <w:color w:val="0000ee"/>
            <w:sz w:val="24"/>
            <w:szCs w:val="24"/>
            <w:u w:val="single"/>
            <w:rtl w:val="0"/>
          </w:rPr>
          <w:t xml:space="preserve">https://alphabullion.com/support/faq-center/</w:t>
        </w:r>
      </w:hyperlink>
      <w:r w:rsidDel="00000000" w:rsidR="00000000" w:rsidRPr="00000000">
        <w:rPr>
          <w:rtl w:val="0"/>
        </w:rPr>
      </w:r>
    </w:p>
    <w:p w:rsidR="00000000" w:rsidDel="00000000" w:rsidP="00000000" w:rsidRDefault="00000000" w:rsidRPr="00000000" w14:paraId="000000A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PAX Gold Terms and Conditions - Paxos, accessed December 25, 2025, </w:t>
      </w:r>
      <w:hyperlink r:id="rId9">
        <w:r w:rsidDel="00000000" w:rsidR="00000000" w:rsidRPr="00000000">
          <w:rPr>
            <w:rFonts w:ascii="Google Sans" w:cs="Google Sans" w:eastAsia="Google Sans" w:hAnsi="Google Sans"/>
            <w:color w:val="0000ee"/>
            <w:sz w:val="24"/>
            <w:szCs w:val="24"/>
            <w:u w:val="single"/>
            <w:rtl w:val="0"/>
          </w:rPr>
          <w:t xml:space="preserve">https://www.paxos.com/terms-and-conditions/pax-gold-terms-conditions</w:t>
        </w:r>
      </w:hyperlink>
      <w:r w:rsidDel="00000000" w:rsidR="00000000" w:rsidRPr="00000000">
        <w:rPr>
          <w:rtl w:val="0"/>
        </w:rPr>
      </w:r>
    </w:p>
    <w:p w:rsidR="00000000" w:rsidDel="00000000" w:rsidP="00000000" w:rsidRDefault="00000000" w:rsidRPr="00000000" w14:paraId="000000A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PAX Gold Fees - Paxos, accessed December 25, 2025, </w:t>
      </w:r>
      <w:hyperlink r:id="rId10">
        <w:r w:rsidDel="00000000" w:rsidR="00000000" w:rsidRPr="00000000">
          <w:rPr>
            <w:rFonts w:ascii="Google Sans" w:cs="Google Sans" w:eastAsia="Google Sans" w:hAnsi="Google Sans"/>
            <w:color w:val="0000ee"/>
            <w:sz w:val="24"/>
            <w:szCs w:val="24"/>
            <w:u w:val="single"/>
            <w:rtl w:val="0"/>
          </w:rPr>
          <w:t xml:space="preserve">https://help.paxos.com/hc/en-us/articles/360041903832-PAX-Gold-Fees</w:t>
        </w:r>
      </w:hyperlink>
      <w:r w:rsidDel="00000000" w:rsidR="00000000" w:rsidRPr="00000000">
        <w:rPr>
          <w:rtl w:val="0"/>
        </w:rPr>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Top 10 Tokenized Gold Crypto Tokens to Know in 2025? - BingX, accessed December 25, 2025, </w:t>
      </w:r>
      <w:hyperlink r:id="rId11">
        <w:r w:rsidDel="00000000" w:rsidR="00000000" w:rsidRPr="00000000">
          <w:rPr>
            <w:rFonts w:ascii="Google Sans" w:cs="Google Sans" w:eastAsia="Google Sans" w:hAnsi="Google Sans"/>
            <w:color w:val="0000ee"/>
            <w:sz w:val="24"/>
            <w:szCs w:val="24"/>
            <w:u w:val="single"/>
            <w:rtl w:val="0"/>
          </w:rPr>
          <w:t xml:space="preserve">https://bingx.com/en/learn/article/top-gold-backed-crypto-tokens</w:t>
        </w:r>
      </w:hyperlink>
      <w:r w:rsidDel="00000000" w:rsidR="00000000" w:rsidRPr="00000000">
        <w:rPr>
          <w:rtl w:val="0"/>
        </w:rPr>
      </w:r>
    </w:p>
    <w:p w:rsidR="00000000" w:rsidDel="00000000" w:rsidP="00000000" w:rsidRDefault="00000000" w:rsidRPr="00000000" w14:paraId="000000A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Tether Gold (XAUt) Explained: Should You Choose XAUt over Real Gold? - BingX, accessed December 25, 2025, </w:t>
      </w:r>
      <w:hyperlink r:id="rId12">
        <w:r w:rsidDel="00000000" w:rsidR="00000000" w:rsidRPr="00000000">
          <w:rPr>
            <w:rFonts w:ascii="Google Sans" w:cs="Google Sans" w:eastAsia="Google Sans" w:hAnsi="Google Sans"/>
            <w:color w:val="0000ee"/>
            <w:sz w:val="24"/>
            <w:szCs w:val="24"/>
            <w:u w:val="single"/>
            <w:rtl w:val="0"/>
          </w:rPr>
          <w:t xml:space="preserve">https://bingx.com/en/learn/article/what-is-tether-gold-xaut-and-how-does-it-work-vs-real-gold</w:t>
        </w:r>
      </w:hyperlink>
      <w:r w:rsidDel="00000000" w:rsidR="00000000" w:rsidRPr="00000000">
        <w:rPr>
          <w:rtl w:val="0"/>
        </w:rPr>
      </w:r>
    </w:p>
    <w:p w:rsidR="00000000" w:rsidDel="00000000" w:rsidP="00000000" w:rsidRDefault="00000000" w:rsidRPr="00000000" w14:paraId="000000A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Fees - Tether, accessed December 25, 2025, </w:t>
      </w:r>
      <w:hyperlink r:id="rId13">
        <w:r w:rsidDel="00000000" w:rsidR="00000000" w:rsidRPr="00000000">
          <w:rPr>
            <w:rFonts w:ascii="Google Sans" w:cs="Google Sans" w:eastAsia="Google Sans" w:hAnsi="Google Sans"/>
            <w:color w:val="0000ee"/>
            <w:sz w:val="24"/>
            <w:szCs w:val="24"/>
            <w:u w:val="single"/>
            <w:rtl w:val="0"/>
          </w:rPr>
          <w:t xml:space="preserve">https://tether.to/en/fees/</w:t>
        </w:r>
      </w:hyperlink>
      <w:r w:rsidDel="00000000" w:rsidR="00000000" w:rsidRPr="00000000">
        <w:rPr>
          <w:rtl w:val="0"/>
        </w:rPr>
      </w:r>
    </w:p>
    <w:p w:rsidR="00000000" w:rsidDel="00000000" w:rsidP="00000000" w:rsidRDefault="00000000" w:rsidRPr="00000000" w14:paraId="000000A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Tether Gold | XAUt token | Digital Token Backed by Physical Gold, accessed December 25, 2025, </w:t>
      </w:r>
      <w:hyperlink r:id="rId14">
        <w:r w:rsidDel="00000000" w:rsidR="00000000" w:rsidRPr="00000000">
          <w:rPr>
            <w:rFonts w:ascii="Google Sans" w:cs="Google Sans" w:eastAsia="Google Sans" w:hAnsi="Google Sans"/>
            <w:color w:val="0000ee"/>
            <w:sz w:val="24"/>
            <w:szCs w:val="24"/>
            <w:u w:val="single"/>
            <w:rtl w:val="0"/>
          </w:rPr>
          <w:t xml:space="preserve">https://gold.tether.to/faq</w:t>
        </w:r>
      </w:hyperlink>
      <w:r w:rsidDel="00000000" w:rsidR="00000000" w:rsidRPr="00000000">
        <w:rPr>
          <w:rtl w:val="0"/>
        </w:rPr>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Fees for Trading, Buying, Selling and Spend with Kinesis, accessed December 25, 2025, </w:t>
      </w:r>
      <w:hyperlink r:id="rId15">
        <w:r w:rsidDel="00000000" w:rsidR="00000000" w:rsidRPr="00000000">
          <w:rPr>
            <w:rFonts w:ascii="Google Sans" w:cs="Google Sans" w:eastAsia="Google Sans" w:hAnsi="Google Sans"/>
            <w:color w:val="0000ee"/>
            <w:sz w:val="24"/>
            <w:szCs w:val="24"/>
            <w:u w:val="single"/>
            <w:rtl w:val="0"/>
          </w:rPr>
          <w:t xml:space="preserve">https://kinesis.money/about-us/fees/</w:t>
        </w:r>
      </w:hyperlink>
      <w:r w:rsidDel="00000000" w:rsidR="00000000" w:rsidRPr="00000000">
        <w:rPr>
          <w:rtl w:val="0"/>
        </w:rPr>
      </w:r>
    </w:p>
    <w:p w:rsidR="00000000" w:rsidDel="00000000" w:rsidP="00000000" w:rsidRDefault="00000000" w:rsidRPr="00000000" w14:paraId="000000A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Kinesis Gold (KAU) - Cryptocurrencies - IQ.wiki, accessed December 25, 2025, </w:t>
      </w:r>
      <w:hyperlink r:id="rId16">
        <w:r w:rsidDel="00000000" w:rsidR="00000000" w:rsidRPr="00000000">
          <w:rPr>
            <w:rFonts w:ascii="Google Sans" w:cs="Google Sans" w:eastAsia="Google Sans" w:hAnsi="Google Sans"/>
            <w:color w:val="0000ee"/>
            <w:sz w:val="24"/>
            <w:szCs w:val="24"/>
            <w:u w:val="single"/>
            <w:rtl w:val="0"/>
          </w:rPr>
          <w:t xml:space="preserve">https://iq.wiki/wiki/kinesis-gold-kau</w:t>
        </w:r>
      </w:hyperlink>
      <w:r w:rsidDel="00000000" w:rsidR="00000000" w:rsidRPr="00000000">
        <w:rPr>
          <w:rtl w:val="0"/>
        </w:rPr>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25, 2025, </w:t>
      </w:r>
      <w:hyperlink r:id="rId17">
        <w:r w:rsidDel="00000000" w:rsidR="00000000" w:rsidRPr="00000000">
          <w:rPr>
            <w:rFonts w:ascii="Google Sans" w:cs="Google Sans" w:eastAsia="Google Sans" w:hAnsi="Google Sans"/>
            <w:color w:val="0000ee"/>
            <w:sz w:val="24"/>
            <w:szCs w:val="24"/>
            <w:u w:val="single"/>
            <w:rtl w:val="0"/>
          </w:rPr>
          <w:t xml:space="preserve">https://kinesis.money/about-us/documents/trust-security-detailed-overview/#:~:text=Kinesis%20enables%20users%20to%20redeem,%2C%20Brinks%20and%20Malca%2DAmit.</w:t>
        </w:r>
      </w:hyperlink>
      <w:r w:rsidDel="00000000" w:rsidR="00000000" w:rsidRPr="00000000">
        <w:rPr>
          <w:rtl w:val="0"/>
        </w:rPr>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Kinesis Gold Staking Guide (2025): How to Maximize KAU Yield &amp; Claim Rewards - Medium, accessed December 25, 2025, </w:t>
      </w:r>
      <w:hyperlink r:id="rId18">
        <w:r w:rsidDel="00000000" w:rsidR="00000000" w:rsidRPr="00000000">
          <w:rPr>
            <w:rFonts w:ascii="Google Sans" w:cs="Google Sans" w:eastAsia="Google Sans" w:hAnsi="Google Sans"/>
            <w:color w:val="0000ee"/>
            <w:sz w:val="24"/>
            <w:szCs w:val="24"/>
            <w:u w:val="single"/>
            <w:rtl w:val="0"/>
          </w:rPr>
          <w:t xml:space="preserve">https://medium.com/@kinesismonetary_rwa/earn-more-kau-kinesis-gold-december-2025-high-yield-rewards-guide-8042105d8962</w:t>
        </w:r>
      </w:hyperlink>
      <w:r w:rsidDel="00000000" w:rsidR="00000000" w:rsidRPr="00000000">
        <w:rPr>
          <w:rtl w:val="0"/>
        </w:rPr>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Buy AurusGOLD (AWG) Token in Minutes | AgaBullion, accessed December 25, 2025, </w:t>
      </w:r>
      <w:hyperlink r:id="rId19">
        <w:r w:rsidDel="00000000" w:rsidR="00000000" w:rsidRPr="00000000">
          <w:rPr>
            <w:rFonts w:ascii="Google Sans" w:cs="Google Sans" w:eastAsia="Google Sans" w:hAnsi="Google Sans"/>
            <w:color w:val="0000ee"/>
            <w:sz w:val="24"/>
            <w:szCs w:val="24"/>
            <w:u w:val="single"/>
            <w:rtl w:val="0"/>
          </w:rPr>
          <w:t xml:space="preserve">https://www.agabullion.com/AgaGoldy</w:t>
        </w:r>
      </w:hyperlink>
      <w:r w:rsidDel="00000000" w:rsidR="00000000" w:rsidRPr="00000000">
        <w:rPr>
          <w:rtl w:val="0"/>
        </w:rPr>
      </w:r>
    </w:p>
    <w:p w:rsidR="00000000" w:rsidDel="00000000" w:rsidP="00000000" w:rsidRDefault="00000000" w:rsidRPr="00000000" w14:paraId="000000B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Gold-Backed Tokens Remain a Side Bet for Investors | by Cassiopeia | Medium, accessed December 25, 2025, </w:t>
      </w:r>
      <w:hyperlink r:id="rId20">
        <w:r w:rsidDel="00000000" w:rsidR="00000000" w:rsidRPr="00000000">
          <w:rPr>
            <w:rFonts w:ascii="Google Sans" w:cs="Google Sans" w:eastAsia="Google Sans" w:hAnsi="Google Sans"/>
            <w:color w:val="0000ee"/>
            <w:sz w:val="24"/>
            <w:szCs w:val="24"/>
            <w:u w:val="single"/>
            <w:rtl w:val="0"/>
          </w:rPr>
          <w:t xml:space="preserve">https://cassiopeiaservicesltd.medium.com/why-gold-backed-tokens-remain-a-side-bet-for-investors-c913ae69d027</w:t>
        </w:r>
      </w:hyperlink>
      <w:r w:rsidDel="00000000" w:rsidR="00000000" w:rsidRPr="00000000">
        <w:rPr>
          <w:rtl w:val="0"/>
        </w:rPr>
      </w:r>
    </w:p>
    <w:p w:rsidR="00000000" w:rsidDel="00000000" w:rsidP="00000000" w:rsidRDefault="00000000" w:rsidRPr="00000000" w14:paraId="000000B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CACHE fully transparent, redeemable gold-backed tokens., accessed December 25, 2025, </w:t>
      </w:r>
      <w:hyperlink r:id="rId21">
        <w:r w:rsidDel="00000000" w:rsidR="00000000" w:rsidRPr="00000000">
          <w:rPr>
            <w:rFonts w:ascii="Google Sans" w:cs="Google Sans" w:eastAsia="Google Sans" w:hAnsi="Google Sans"/>
            <w:color w:val="0000ee"/>
            <w:sz w:val="24"/>
            <w:szCs w:val="24"/>
            <w:u w:val="single"/>
            <w:rtl w:val="0"/>
          </w:rPr>
          <w:t xml:space="preserve">https://cache.gold/</w:t>
        </w:r>
      </w:hyperlink>
      <w:r w:rsidDel="00000000" w:rsidR="00000000" w:rsidRPr="00000000">
        <w:rPr>
          <w:rtl w:val="0"/>
        </w:rPr>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CACHE Gold - Medium, accessed December 25, 2025, </w:t>
      </w:r>
      <w:hyperlink r:id="rId22">
        <w:r w:rsidDel="00000000" w:rsidR="00000000" w:rsidRPr="00000000">
          <w:rPr>
            <w:rFonts w:ascii="Google Sans" w:cs="Google Sans" w:eastAsia="Google Sans" w:hAnsi="Google Sans"/>
            <w:color w:val="0000ee"/>
            <w:sz w:val="24"/>
            <w:szCs w:val="24"/>
            <w:u w:val="single"/>
            <w:rtl w:val="0"/>
          </w:rPr>
          <w:t xml:space="preserve">https://medium.com/cache-gold</w:t>
        </w:r>
      </w:hyperlink>
      <w:r w:rsidDel="00000000" w:rsidR="00000000" w:rsidRPr="00000000">
        <w:rPr>
          <w:rtl w:val="0"/>
        </w:rPr>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CACHE Gold Uses Chainlink Proof of Reserve, accessed December 25, 2025, </w:t>
      </w:r>
      <w:hyperlink r:id="rId23">
        <w:r w:rsidDel="00000000" w:rsidR="00000000" w:rsidRPr="00000000">
          <w:rPr>
            <w:rFonts w:ascii="Google Sans" w:cs="Google Sans" w:eastAsia="Google Sans" w:hAnsi="Google Sans"/>
            <w:color w:val="0000ee"/>
            <w:sz w:val="24"/>
            <w:szCs w:val="24"/>
            <w:u w:val="single"/>
            <w:rtl w:val="0"/>
          </w:rPr>
          <w:t xml:space="preserve">https://chain.link/case-studies/cache-gold</w:t>
        </w:r>
      </w:hyperlink>
      <w:r w:rsidDel="00000000" w:rsidR="00000000" w:rsidRPr="00000000">
        <w:rPr>
          <w:rtl w:val="0"/>
        </w:rPr>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IoT-Enabled Tokenization of Physical Assets - SEC.gov, accessed December 25, 2025, </w:t>
      </w:r>
      <w:hyperlink r:id="rId24">
        <w:r w:rsidDel="00000000" w:rsidR="00000000" w:rsidRPr="00000000">
          <w:rPr>
            <w:rFonts w:ascii="Google Sans" w:cs="Google Sans" w:eastAsia="Google Sans" w:hAnsi="Google Sans"/>
            <w:color w:val="0000ee"/>
            <w:sz w:val="24"/>
            <w:szCs w:val="24"/>
            <w:u w:val="single"/>
            <w:rtl w:val="0"/>
          </w:rPr>
          <w:t xml:space="preserve">https://www.sec.gov/files/ctf-written-input-daniel-bruno-corvelo-costa-092125.pdf</w:t>
        </w:r>
      </w:hyperlink>
      <w:r w:rsidDel="00000000" w:rsidR="00000000" w:rsidRPr="00000000">
        <w:rPr>
          <w:rtl w:val="0"/>
        </w:rPr>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 Issues Further Crypto Asset Security Guidance, Addresses Broker-Dealer Physical Possession and Asset Pairs Trading | Insights | Sidley Austin LLP, accessed December 25, 2025, </w:t>
      </w:r>
      <w:hyperlink r:id="rId25">
        <w:r w:rsidDel="00000000" w:rsidR="00000000" w:rsidRPr="00000000">
          <w:rPr>
            <w:rFonts w:ascii="Google Sans" w:cs="Google Sans" w:eastAsia="Google Sans" w:hAnsi="Google Sans"/>
            <w:color w:val="0000ee"/>
            <w:sz w:val="24"/>
            <w:szCs w:val="24"/>
            <w:u w:val="single"/>
            <w:rtl w:val="0"/>
          </w:rPr>
          <w:t xml:space="preserve">https://www.sidley.com/en/insights/newsupdates/2025/12/sec-issues-further-crypto-asset-security-guidance-addresses-broker-dealer-physical-possession</w:t>
        </w:r>
      </w:hyperlink>
      <w:r w:rsidDel="00000000" w:rsidR="00000000" w:rsidRPr="00000000">
        <w:rPr>
          <w:rtl w:val="0"/>
        </w:rPr>
      </w:r>
    </w:p>
    <w:p w:rsidR="00000000" w:rsidDel="00000000" w:rsidP="00000000" w:rsidRDefault="00000000" w:rsidRPr="00000000" w14:paraId="000000B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Congress Pushes Forward Market Structure Legislation, FDIC Proposes Stablecoin Application Procedures and SEC Hosts Privacy Roundtable and Issues Broker-Dealer Statement | Paul Hastings LLP, accessed December 25, 2025, </w:t>
      </w:r>
      <w:hyperlink r:id="rId26">
        <w:r w:rsidDel="00000000" w:rsidR="00000000" w:rsidRPr="00000000">
          <w:rPr>
            <w:rFonts w:ascii="Google Sans" w:cs="Google Sans" w:eastAsia="Google Sans" w:hAnsi="Google Sans"/>
            <w:color w:val="0000ee"/>
            <w:sz w:val="24"/>
            <w:szCs w:val="24"/>
            <w:u w:val="single"/>
            <w:rtl w:val="0"/>
          </w:rPr>
          <w:t xml:space="preserve">https://www.paulhastings.com/insights/crypto-policy-tracker/congress-pushes-forward-market-structure-legislation-fdic-proposes</w:t>
        </w:r>
      </w:hyperlink>
      <w:r w:rsidDel="00000000" w:rsidR="00000000" w:rsidRPr="00000000">
        <w:rPr>
          <w:rtl w:val="0"/>
        </w:rPr>
      </w:r>
    </w:p>
    <w:p w:rsidR="00000000" w:rsidDel="00000000" w:rsidP="00000000" w:rsidRDefault="00000000" w:rsidRPr="00000000" w14:paraId="000000B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Legal &amp; Regulatory Frameworks for RWA Tokenization - Growth Turbine, accessed December 25, 2025, </w:t>
      </w:r>
      <w:hyperlink r:id="rId27">
        <w:r w:rsidDel="00000000" w:rsidR="00000000" w:rsidRPr="00000000">
          <w:rPr>
            <w:rFonts w:ascii="Google Sans" w:cs="Google Sans" w:eastAsia="Google Sans" w:hAnsi="Google Sans"/>
            <w:color w:val="0000ee"/>
            <w:sz w:val="24"/>
            <w:szCs w:val="24"/>
            <w:u w:val="single"/>
            <w:rtl w:val="0"/>
          </w:rPr>
          <w:t xml:space="preserve">https://www.growthturbine.com/blogs/legal-regulatory-frameworks-for-rwa-tokenization</w:t>
        </w:r>
      </w:hyperlink>
      <w:r w:rsidDel="00000000" w:rsidR="00000000" w:rsidRPr="00000000">
        <w:rPr>
          <w:rtl w:val="0"/>
        </w:rPr>
      </w:r>
    </w:p>
    <w:p w:rsidR="00000000" w:rsidDel="00000000" w:rsidP="00000000" w:rsidRDefault="00000000" w:rsidRPr="00000000" w14:paraId="000000B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Legal and Regulatory Frameworks for Real-World Asset Tokenization, accessed December 25, 2025, </w:t>
      </w:r>
      <w:hyperlink r:id="rId28">
        <w:r w:rsidDel="00000000" w:rsidR="00000000" w:rsidRPr="00000000">
          <w:rPr>
            <w:rFonts w:ascii="Google Sans" w:cs="Google Sans" w:eastAsia="Google Sans" w:hAnsi="Google Sans"/>
            <w:color w:val="0000ee"/>
            <w:sz w:val="24"/>
            <w:szCs w:val="24"/>
            <w:u w:val="single"/>
            <w:rtl w:val="0"/>
          </w:rPr>
          <w:t xml:space="preserve">https://www.blockchainappfactory.com/blog/legal-and-regulatory-frameworks-for-real-world-asset-tokenization/</w:t>
        </w:r>
      </w:hyperlink>
      <w:r w:rsidDel="00000000" w:rsidR="00000000" w:rsidRPr="00000000">
        <w:rPr>
          <w:rtl w:val="0"/>
        </w:rPr>
      </w:r>
    </w:p>
    <w:p w:rsidR="00000000" w:rsidDel="00000000" w:rsidP="00000000" w:rsidRDefault="00000000" w:rsidRPr="00000000" w14:paraId="000000B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Crypto-Asset Safekeeping by Banking Organizations - FDIC, accessed December 25, 2025, </w:t>
      </w:r>
      <w:hyperlink r:id="rId29">
        <w:r w:rsidDel="00000000" w:rsidR="00000000" w:rsidRPr="00000000">
          <w:rPr>
            <w:rFonts w:ascii="Google Sans" w:cs="Google Sans" w:eastAsia="Google Sans" w:hAnsi="Google Sans"/>
            <w:color w:val="0000ee"/>
            <w:sz w:val="24"/>
            <w:szCs w:val="24"/>
            <w:u w:val="single"/>
            <w:rtl w:val="0"/>
          </w:rPr>
          <w:t xml:space="preserve">https://www.fdic.gov/interagency-statement-crypto-asset-safekeeping.pdf</w:t>
        </w:r>
      </w:hyperlink>
      <w:r w:rsidDel="00000000" w:rsidR="00000000" w:rsidRPr="00000000">
        <w:rPr>
          <w:rtl w:val="0"/>
        </w:rPr>
      </w:r>
    </w:p>
    <w:p w:rsidR="00000000" w:rsidDel="00000000" w:rsidP="00000000" w:rsidRDefault="00000000" w:rsidRPr="00000000" w14:paraId="000000B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25, 2025, </w:t>
      </w:r>
      <w:hyperlink r:id="rId30">
        <w:r w:rsidDel="00000000" w:rsidR="00000000" w:rsidRPr="00000000">
          <w:rPr>
            <w:rFonts w:ascii="Google Sans" w:cs="Google Sans" w:eastAsia="Google Sans" w:hAnsi="Google Sans"/>
            <w:color w:val="0000ee"/>
            <w:sz w:val="24"/>
            <w:szCs w:val="24"/>
            <w:u w:val="single"/>
            <w:rtl w:val="0"/>
          </w:rPr>
          <w:t xml:space="preserve">https://capitol.texas.gov/tlodocs/89R/analysis/html/HB04518E.htm</w:t>
        </w:r>
      </w:hyperlink>
      <w:r w:rsidDel="00000000" w:rsidR="00000000" w:rsidRPr="00000000">
        <w:rPr>
          <w:rtl w:val="0"/>
        </w:rPr>
      </w:r>
    </w:p>
    <w:p w:rsidR="00000000" w:rsidDel="00000000" w:rsidP="00000000" w:rsidRDefault="00000000" w:rsidRPr="00000000" w14:paraId="000000B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Legislation - 2024 - SF0050 - Wyoming Legislature, accessed December 25, 2025, </w:t>
      </w:r>
      <w:hyperlink r:id="rId31">
        <w:r w:rsidDel="00000000" w:rsidR="00000000" w:rsidRPr="00000000">
          <w:rPr>
            <w:rFonts w:ascii="Google Sans" w:cs="Google Sans" w:eastAsia="Google Sans" w:hAnsi="Google Sans"/>
            <w:color w:val="0000ee"/>
            <w:sz w:val="24"/>
            <w:szCs w:val="24"/>
            <w:u w:val="single"/>
            <w:rtl w:val="0"/>
          </w:rPr>
          <w:t xml:space="preserve">https://www.wyoleg.gov/Legislation/2024/SF0050</w:t>
        </w:r>
      </w:hyperlink>
      <w:r w:rsidDel="00000000" w:rsidR="00000000" w:rsidRPr="00000000">
        <w:rPr>
          <w:rtl w:val="0"/>
        </w:rPr>
      </w:r>
    </w:p>
    <w:p w:rsidR="00000000" w:rsidDel="00000000" w:rsidP="00000000" w:rsidRDefault="00000000" w:rsidRPr="00000000" w14:paraId="000000B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DUNA 101: A Founder's Guide to Wyoming's DAO Legal Framework - Toku, accessed December 25, 2025, </w:t>
      </w:r>
      <w:hyperlink r:id="rId32">
        <w:r w:rsidDel="00000000" w:rsidR="00000000" w:rsidRPr="00000000">
          <w:rPr>
            <w:rFonts w:ascii="Google Sans" w:cs="Google Sans" w:eastAsia="Google Sans" w:hAnsi="Google Sans"/>
            <w:color w:val="0000ee"/>
            <w:sz w:val="24"/>
            <w:szCs w:val="24"/>
            <w:u w:val="single"/>
            <w:rtl w:val="0"/>
          </w:rPr>
          <w:t xml:space="preserve">https://www.toku.com/resources/duna-101-a-founders-guide-to-wyomings-dao-legal-framework</w:t>
        </w:r>
      </w:hyperlink>
      <w:r w:rsidDel="00000000" w:rsidR="00000000" w:rsidRPr="00000000">
        <w:rPr>
          <w:rtl w:val="0"/>
        </w:rPr>
      </w:r>
    </w:p>
    <w:p w:rsidR="00000000" w:rsidDel="00000000" w:rsidP="00000000" w:rsidRDefault="00000000" w:rsidRPr="00000000" w14:paraId="000000B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 Associations - The Harvard Law School Forum on Corporate Governance, accessed December 25, 2025, </w:t>
      </w:r>
      <w:hyperlink r:id="rId33">
        <w:r w:rsidDel="00000000" w:rsidR="00000000" w:rsidRPr="00000000">
          <w:rPr>
            <w:rFonts w:ascii="Google Sans" w:cs="Google Sans" w:eastAsia="Google Sans" w:hAnsi="Google Sans"/>
            <w:color w:val="0000ee"/>
            <w:sz w:val="24"/>
            <w:szCs w:val="24"/>
            <w:u w:val="single"/>
            <w:rtl w:val="0"/>
          </w:rPr>
          <w:t xml:space="preserve">https://corpgov.law.harvard.edu/2025/05/29/crypto-associations/</w:t>
        </w:r>
      </w:hyperlink>
      <w:r w:rsidDel="00000000" w:rsidR="00000000" w:rsidRPr="00000000">
        <w:rPr>
          <w:rtl w:val="0"/>
        </w:rPr>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Crypto Policy Tracker Regulatory Developments - Latham &amp; Watkins LLP, accessed December 25, 2025, </w:t>
      </w:r>
      <w:hyperlink r:id="rId34">
        <w:r w:rsidDel="00000000" w:rsidR="00000000" w:rsidRPr="00000000">
          <w:rPr>
            <w:rFonts w:ascii="Google Sans" w:cs="Google Sans" w:eastAsia="Google Sans" w:hAnsi="Google Sans"/>
            <w:color w:val="0000ee"/>
            <w:sz w:val="24"/>
            <w:szCs w:val="24"/>
            <w:u w:val="single"/>
            <w:rtl w:val="0"/>
          </w:rPr>
          <w:t xml:space="preserve">https://www.lw.com/en/us-crypto-policy-tracker/regulatory-developments</w:t>
        </w:r>
      </w:hyperlink>
      <w:r w:rsidDel="00000000" w:rsidR="00000000" w:rsidRPr="00000000">
        <w:rPr>
          <w:rtl w:val="0"/>
        </w:rPr>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DigixDAO: A Divorce Story. A case study for voting systems and… | by Ryan Youngjoon Yi | CoinFund Insights, accessed December 25, 2025, </w:t>
      </w:r>
      <w:hyperlink r:id="rId35">
        <w:r w:rsidDel="00000000" w:rsidR="00000000" w:rsidRPr="00000000">
          <w:rPr>
            <w:rFonts w:ascii="Google Sans" w:cs="Google Sans" w:eastAsia="Google Sans" w:hAnsi="Google Sans"/>
            <w:color w:val="0000ee"/>
            <w:sz w:val="24"/>
            <w:szCs w:val="24"/>
            <w:u w:val="single"/>
            <w:rtl w:val="0"/>
          </w:rPr>
          <w:t xml:space="preserve">https://blog.coinfund.io/digixdao-divorce-story-6ed74b00e2bd</w:t>
        </w:r>
      </w:hyperlink>
      <w:r w:rsidDel="00000000" w:rsidR="00000000" w:rsidRPr="00000000">
        <w:rPr>
          <w:rtl w:val="0"/>
        </w:rPr>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we learnt from the rise and fall of the DigixDAO autonomous organisation - Finder, accessed December 25, 2025, </w:t>
      </w:r>
      <w:hyperlink r:id="rId36">
        <w:r w:rsidDel="00000000" w:rsidR="00000000" w:rsidRPr="00000000">
          <w:rPr>
            <w:rFonts w:ascii="Google Sans" w:cs="Google Sans" w:eastAsia="Google Sans" w:hAnsi="Google Sans"/>
            <w:color w:val="0000ee"/>
            <w:sz w:val="24"/>
            <w:szCs w:val="24"/>
            <w:u w:val="single"/>
            <w:rtl w:val="0"/>
          </w:rPr>
          <w:t xml:space="preserve">https://www.finder.com.au/news/what-we-learnt-from-the-rise-and-fall-of-the-digixdao-autonomous-organisation</w:t>
        </w:r>
      </w:hyperlink>
      <w:r w:rsidDel="00000000" w:rsidR="00000000" w:rsidRPr="00000000">
        <w:rPr>
          <w:rtl w:val="0"/>
        </w:rPr>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Vulnerabilities: Protocol Governance and DAOs - Smart Contracts - Sigma Prime, accessed December 25, 2025, </w:t>
      </w:r>
      <w:hyperlink r:id="rId37">
        <w:r w:rsidDel="00000000" w:rsidR="00000000" w:rsidRPr="00000000">
          <w:rPr>
            <w:rFonts w:ascii="Google Sans" w:cs="Google Sans" w:eastAsia="Google Sans" w:hAnsi="Google Sans"/>
            <w:color w:val="0000ee"/>
            <w:sz w:val="24"/>
            <w:szCs w:val="24"/>
            <w:u w:val="single"/>
            <w:rtl w:val="0"/>
          </w:rPr>
          <w:t xml:space="preserve">https://blog.sigmaprime.io/governance-dao.html</w:t>
        </w:r>
      </w:hyperlink>
      <w:r w:rsidDel="00000000" w:rsidR="00000000" w:rsidRPr="00000000">
        <w:rPr>
          <w:rtl w:val="0"/>
        </w:rPr>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Elinor Ostrom Governance Models - Lifestyle → Sustainability Directory, accessed December 25, 2025, </w:t>
      </w:r>
      <w:hyperlink r:id="rId38">
        <w:r w:rsidDel="00000000" w:rsidR="00000000" w:rsidRPr="00000000">
          <w:rPr>
            <w:rFonts w:ascii="Google Sans" w:cs="Google Sans" w:eastAsia="Google Sans" w:hAnsi="Google Sans"/>
            <w:color w:val="0000ee"/>
            <w:sz w:val="24"/>
            <w:szCs w:val="24"/>
            <w:u w:val="single"/>
            <w:rtl w:val="0"/>
          </w:rPr>
          <w:t xml:space="preserve">https://lifestyle.sustainability-directory.com/area/elinor-ostrom-governance-models/</w:t>
        </w:r>
      </w:hyperlink>
      <w:r w:rsidDel="00000000" w:rsidR="00000000" w:rsidRPr="00000000">
        <w:rPr>
          <w:rtl w:val="0"/>
        </w:rPr>
      </w:r>
    </w:p>
    <w:p w:rsidR="00000000" w:rsidDel="00000000" w:rsidP="00000000" w:rsidRDefault="00000000" w:rsidRPr="00000000" w14:paraId="000000C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Ostrom's Principles in DAO Governance: A Path to Sustainability - Colony Blog, accessed December 25, 2025, </w:t>
      </w:r>
      <w:hyperlink r:id="rId39">
        <w:r w:rsidDel="00000000" w:rsidR="00000000" w:rsidRPr="00000000">
          <w:rPr>
            <w:rFonts w:ascii="Google Sans" w:cs="Google Sans" w:eastAsia="Google Sans" w:hAnsi="Google Sans"/>
            <w:color w:val="0000ee"/>
            <w:sz w:val="24"/>
            <w:szCs w:val="24"/>
            <w:u w:val="single"/>
            <w:rtl w:val="0"/>
          </w:rPr>
          <w:t xml:space="preserve">https://blog.colony.io/applying-ostroms-principles-to-dao-governance/</w:t>
        </w:r>
      </w:hyperlink>
      <w:r w:rsidDel="00000000" w:rsidR="00000000" w:rsidRPr="00000000">
        <w:rPr>
          <w:rtl w:val="0"/>
        </w:rPr>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Elinor Ostrom's 8 rules for managing the commons - The Earthbound Report, accessed December 25, 2025, </w:t>
      </w:r>
      <w:hyperlink r:id="rId40">
        <w:r w:rsidDel="00000000" w:rsidR="00000000" w:rsidRPr="00000000">
          <w:rPr>
            <w:rFonts w:ascii="Google Sans" w:cs="Google Sans" w:eastAsia="Google Sans" w:hAnsi="Google Sans"/>
            <w:color w:val="0000ee"/>
            <w:sz w:val="24"/>
            <w:szCs w:val="24"/>
            <w:u w:val="single"/>
            <w:rtl w:val="0"/>
          </w:rPr>
          <w:t xml:space="preserve">https://earthbound.report/2018/01/15/elinor-ostroms-8-rules-for-managing-the-commons/</w:t>
        </w:r>
      </w:hyperlink>
      <w:r w:rsidDel="00000000" w:rsidR="00000000" w:rsidRPr="00000000">
        <w:rPr>
          <w:rtl w:val="0"/>
        </w:rPr>
      </w:r>
    </w:p>
    <w:p w:rsidR="00000000" w:rsidDel="00000000" w:rsidP="00000000" w:rsidRDefault="00000000" w:rsidRPr="00000000" w14:paraId="000000C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Whitepaper | Circles UBI | Handbook, accessed December 25, 2025, </w:t>
      </w:r>
      <w:hyperlink r:id="rId41">
        <w:r w:rsidDel="00000000" w:rsidR="00000000" w:rsidRPr="00000000">
          <w:rPr>
            <w:rFonts w:ascii="Google Sans" w:cs="Google Sans" w:eastAsia="Google Sans" w:hAnsi="Google Sans"/>
            <w:color w:val="0000ee"/>
            <w:sz w:val="24"/>
            <w:szCs w:val="24"/>
            <w:u w:val="single"/>
            <w:rtl w:val="0"/>
          </w:rPr>
          <w:t xml:space="preserve">https://handbook.joincircles.net/docs/developers/whitepaper/</w:t>
        </w:r>
      </w:hyperlink>
      <w:r w:rsidDel="00000000" w:rsidR="00000000" w:rsidRPr="00000000">
        <w:rPr>
          <w:rtl w:val="0"/>
        </w:rPr>
      </w:r>
    </w:p>
    <w:p w:rsidR="00000000" w:rsidDel="00000000" w:rsidP="00000000" w:rsidRDefault="00000000" w:rsidRPr="00000000" w14:paraId="000000C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Circles Entropy”=&gt;”An Anonymous Trust and Credit System, accessed December 25, 2025, </w:t>
      </w:r>
      <w:hyperlink r:id="rId42">
        <w:r w:rsidDel="00000000" w:rsidR="00000000" w:rsidRPr="00000000">
          <w:rPr>
            <w:rFonts w:ascii="Google Sans" w:cs="Google Sans" w:eastAsia="Google Sans" w:hAnsi="Google Sans"/>
            <w:color w:val="0000ee"/>
            <w:sz w:val="24"/>
            <w:szCs w:val="24"/>
            <w:u w:val="single"/>
            <w:rtl w:val="0"/>
          </w:rPr>
          <w:t xml:space="preserve">https://circlesentropy.github.io/blackpaper/</w:t>
        </w:r>
      </w:hyperlink>
      <w:r w:rsidDel="00000000" w:rsidR="00000000" w:rsidRPr="00000000">
        <w:rPr>
          <w:rtl w:val="0"/>
        </w:rPr>
      </w:r>
    </w:p>
    <w:p w:rsidR="00000000" w:rsidDel="00000000" w:rsidP="00000000" w:rsidRDefault="00000000" w:rsidRPr="00000000" w14:paraId="000000C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BrightID, accessed December 25, 2025, </w:t>
      </w:r>
      <w:hyperlink r:id="rId43">
        <w:r w:rsidDel="00000000" w:rsidR="00000000" w:rsidRPr="00000000">
          <w:rPr>
            <w:rFonts w:ascii="Google Sans" w:cs="Google Sans" w:eastAsia="Google Sans" w:hAnsi="Google Sans"/>
            <w:color w:val="0000ee"/>
            <w:sz w:val="24"/>
            <w:szCs w:val="24"/>
            <w:u w:val="single"/>
            <w:rtl w:val="0"/>
          </w:rPr>
          <w:t xml:space="preserve">https://www.brightid.org/</w:t>
        </w:r>
      </w:hyperlink>
      <w:r w:rsidDel="00000000" w:rsidR="00000000" w:rsidRPr="00000000">
        <w:rPr>
          <w:rtl w:val="0"/>
        </w:rPr>
      </w:r>
    </w:p>
    <w:p w:rsidR="00000000" w:rsidDel="00000000" w:rsidP="00000000" w:rsidRDefault="00000000" w:rsidRPr="00000000" w14:paraId="000000C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 Watches the Watchmen? A Review of Subjective Approaches for Sybil-Resistance in Proof of Personhood Protocols - Frontiers, accessed December 25, 2025, </w:t>
      </w:r>
      <w:hyperlink r:id="rId44">
        <w:r w:rsidDel="00000000" w:rsidR="00000000" w:rsidRPr="00000000">
          <w:rPr>
            <w:rFonts w:ascii="Google Sans" w:cs="Google Sans" w:eastAsia="Google Sans" w:hAnsi="Google Sans"/>
            <w:color w:val="0000ee"/>
            <w:sz w:val="24"/>
            <w:szCs w:val="24"/>
            <w:u w:val="single"/>
            <w:rtl w:val="0"/>
          </w:rPr>
          <w:t xml:space="preserve">https://www.frontiersin.org/journals/blockchain/articles/10.3389/fbloc.2020.590171/full</w:t>
        </w:r>
      </w:hyperlink>
      <w:r w:rsidDel="00000000" w:rsidR="00000000" w:rsidRPr="00000000">
        <w:rPr>
          <w:rtl w:val="0"/>
        </w:rPr>
      </w:r>
    </w:p>
    <w:p w:rsidR="00000000" w:rsidDel="00000000" w:rsidP="00000000" w:rsidRDefault="00000000" w:rsidRPr="00000000" w14:paraId="000000C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Sybil Attacks in Crypto &amp; DeFi: Risks, Examples, and How to Prevent Them - Formo, accessed December 25, 2025, </w:t>
      </w:r>
      <w:hyperlink r:id="rId45">
        <w:r w:rsidDel="00000000" w:rsidR="00000000" w:rsidRPr="00000000">
          <w:rPr>
            <w:rFonts w:ascii="Google Sans" w:cs="Google Sans" w:eastAsia="Google Sans" w:hAnsi="Google Sans"/>
            <w:color w:val="0000ee"/>
            <w:sz w:val="24"/>
            <w:szCs w:val="24"/>
            <w:u w:val="single"/>
            <w:rtl w:val="0"/>
          </w:rPr>
          <w:t xml:space="preserve">https://formo.so/blog/what-are-sybil-attacks-in-crypto-and-how-to-prevent-them</w:t>
        </w:r>
      </w:hyperlink>
      <w:r w:rsidDel="00000000" w:rsidR="00000000" w:rsidRPr="00000000">
        <w:rPr>
          <w:rtl w:val="0"/>
        </w:rPr>
      </w:r>
    </w:p>
    <w:p w:rsidR="00000000" w:rsidDel="00000000" w:rsidP="00000000" w:rsidRDefault="00000000" w:rsidRPr="00000000" w14:paraId="000000C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Trends and challenges related to Sybil resistance in public chains, accessed December 25, 2025, </w:t>
      </w:r>
      <w:hyperlink r:id="rId46">
        <w:r w:rsidDel="00000000" w:rsidR="00000000" w:rsidRPr="00000000">
          <w:rPr>
            <w:rFonts w:ascii="Google Sans" w:cs="Google Sans" w:eastAsia="Google Sans" w:hAnsi="Google Sans"/>
            <w:color w:val="0000ee"/>
            <w:sz w:val="24"/>
            <w:szCs w:val="24"/>
            <w:u w:val="single"/>
            <w:rtl w:val="0"/>
          </w:rPr>
          <w:t xml:space="preserve">https://xangle.io/en/research/detail/1781</w:t>
        </w:r>
      </w:hyperlink>
      <w:r w:rsidDel="00000000" w:rsidR="00000000" w:rsidRPr="00000000">
        <w:rPr>
          <w:rtl w:val="0"/>
        </w:rPr>
      </w:r>
    </w:p>
    <w:p w:rsidR="00000000" w:rsidDel="00000000" w:rsidP="00000000" w:rsidRDefault="00000000" w:rsidRPr="00000000" w14:paraId="000000C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Proof of Personhood: Sybil-Resistant Decentralized Identity with Privacy - Medium, accessed December 25, 2025, </w:t>
      </w:r>
      <w:hyperlink r:id="rId47">
        <w:r w:rsidDel="00000000" w:rsidR="00000000" w:rsidRPr="00000000">
          <w:rPr>
            <w:rFonts w:ascii="Google Sans" w:cs="Google Sans" w:eastAsia="Google Sans" w:hAnsi="Google Sans"/>
            <w:color w:val="0000ee"/>
            <w:sz w:val="24"/>
            <w:szCs w:val="24"/>
            <w:u w:val="single"/>
            <w:rtl w:val="0"/>
          </w:rPr>
          <w:t xml:space="preserve">https://medium.com/@gwrx2005/proof-of-personhood-sybil-resistant-decentralized-identity-with-privacy-e74d750ca2a3</w:t>
        </w:r>
      </w:hyperlink>
      <w:r w:rsidDel="00000000" w:rsidR="00000000" w:rsidRPr="00000000">
        <w:rPr>
          <w:rtl w:val="0"/>
        </w:rPr>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ERC-4626 with Your Smart Contract | Quicknode Guides, accessed December 25, 2025, </w:t>
      </w:r>
      <w:hyperlink r:id="rId48">
        <w:r w:rsidDel="00000000" w:rsidR="00000000" w:rsidRPr="00000000">
          <w:rPr>
            <w:rFonts w:ascii="Google Sans" w:cs="Google Sans" w:eastAsia="Google Sans" w:hAnsi="Google Sans"/>
            <w:color w:val="0000ee"/>
            <w:sz w:val="24"/>
            <w:szCs w:val="24"/>
            <w:u w:val="single"/>
            <w:rtl w:val="0"/>
          </w:rPr>
          <w:t xml:space="preserve">https://www.quicknode.com/guides/ethereum-development/smart-contracts/how-to-use-erc-4626-with-your-smart-contract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earthbound.report/2018/01/15/elinor-ostroms-8-rules-for-managing-the-commons/" TargetMode="External"/><Relationship Id="rId20" Type="http://schemas.openxmlformats.org/officeDocument/2006/relationships/hyperlink" Target="https://cassiopeiaservicesltd.medium.com/why-gold-backed-tokens-remain-a-side-bet-for-investors-c913ae69d027" TargetMode="External"/><Relationship Id="rId42" Type="http://schemas.openxmlformats.org/officeDocument/2006/relationships/hyperlink" Target="https://circlesentropy.github.io/blackpaper/" TargetMode="External"/><Relationship Id="rId41" Type="http://schemas.openxmlformats.org/officeDocument/2006/relationships/hyperlink" Target="https://handbook.joincircles.net/docs/developers/whitepaper/" TargetMode="External"/><Relationship Id="rId22" Type="http://schemas.openxmlformats.org/officeDocument/2006/relationships/hyperlink" Target="https://medium.com/cache-gold" TargetMode="External"/><Relationship Id="rId44" Type="http://schemas.openxmlformats.org/officeDocument/2006/relationships/hyperlink" Target="https://www.frontiersin.org/journals/blockchain/articles/10.3389/fbloc.2020.590171/full" TargetMode="External"/><Relationship Id="rId21" Type="http://schemas.openxmlformats.org/officeDocument/2006/relationships/hyperlink" Target="https://cache.gold/" TargetMode="External"/><Relationship Id="rId43" Type="http://schemas.openxmlformats.org/officeDocument/2006/relationships/hyperlink" Target="https://www.brightid.org/" TargetMode="External"/><Relationship Id="rId24" Type="http://schemas.openxmlformats.org/officeDocument/2006/relationships/hyperlink" Target="https://www.sec.gov/files/ctf-written-input-daniel-bruno-corvelo-costa-092125.pdf" TargetMode="External"/><Relationship Id="rId46" Type="http://schemas.openxmlformats.org/officeDocument/2006/relationships/hyperlink" Target="https://xangle.io/en/research/detail/1781" TargetMode="External"/><Relationship Id="rId23" Type="http://schemas.openxmlformats.org/officeDocument/2006/relationships/hyperlink" Target="https://chain.link/case-studies/cache-gold" TargetMode="External"/><Relationship Id="rId45" Type="http://schemas.openxmlformats.org/officeDocument/2006/relationships/hyperlink" Target="https://formo.so/blog/what-are-sybil-attacks-in-crypto-and-how-to-prevent-the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axos.com/terms-and-conditions/pax-gold-terms-conditions" TargetMode="External"/><Relationship Id="rId26" Type="http://schemas.openxmlformats.org/officeDocument/2006/relationships/hyperlink" Target="https://www.paulhastings.com/insights/crypto-policy-tracker/congress-pushes-forward-market-structure-legislation-fdic-proposes" TargetMode="External"/><Relationship Id="rId48" Type="http://schemas.openxmlformats.org/officeDocument/2006/relationships/hyperlink" Target="https://www.quicknode.com/guides/ethereum-development/smart-contracts/how-to-use-erc-4626-with-your-smart-contract" TargetMode="External"/><Relationship Id="rId25" Type="http://schemas.openxmlformats.org/officeDocument/2006/relationships/hyperlink" Target="https://www.sidley.com/en/insights/newsupdates/2025/12/sec-issues-further-crypto-asset-security-guidance-addresses-broker-dealer-physical-possession" TargetMode="External"/><Relationship Id="rId47" Type="http://schemas.openxmlformats.org/officeDocument/2006/relationships/hyperlink" Target="https://medium.com/@gwrx2005/proof-of-personhood-sybil-resistant-decentralized-identity-with-privacy-e74d750ca2a3" TargetMode="External"/><Relationship Id="rId28" Type="http://schemas.openxmlformats.org/officeDocument/2006/relationships/hyperlink" Target="https://www.blockchainappfactory.com/blog/legal-and-regulatory-frameworks-for-real-world-asset-tokenization/" TargetMode="External"/><Relationship Id="rId27" Type="http://schemas.openxmlformats.org/officeDocument/2006/relationships/hyperlink" Target="https://www.growthturbine.com/blogs/legal-regulatory-frameworks-for-rwa-tokenization" TargetMode="External"/><Relationship Id="rId5" Type="http://schemas.openxmlformats.org/officeDocument/2006/relationships/styles" Target="styles.xml"/><Relationship Id="rId6" Type="http://schemas.openxmlformats.org/officeDocument/2006/relationships/hyperlink" Target="https://www.tokenmetrics.com/blog/top-gold-commodity-backed-tokens-2025?74e29fd5_page=80" TargetMode="External"/><Relationship Id="rId29" Type="http://schemas.openxmlformats.org/officeDocument/2006/relationships/hyperlink" Target="https://www.fdic.gov/interagency-statement-crypto-asset-safekeeping.pdf" TargetMode="External"/><Relationship Id="rId7" Type="http://schemas.openxmlformats.org/officeDocument/2006/relationships/hyperlink" Target="https://www.binance.com/en/square/post/28888731575690" TargetMode="External"/><Relationship Id="rId8" Type="http://schemas.openxmlformats.org/officeDocument/2006/relationships/hyperlink" Target="https://alphabullion.com/support/faq-center/" TargetMode="External"/><Relationship Id="rId31" Type="http://schemas.openxmlformats.org/officeDocument/2006/relationships/hyperlink" Target="https://www.wyoleg.gov/Legislation/2024/SF0050" TargetMode="External"/><Relationship Id="rId30" Type="http://schemas.openxmlformats.org/officeDocument/2006/relationships/hyperlink" Target="https://capitol.texas.gov/tlodocs/89R/analysis/html/HB04518E.htm" TargetMode="External"/><Relationship Id="rId11" Type="http://schemas.openxmlformats.org/officeDocument/2006/relationships/hyperlink" Target="https://bingx.com/en/learn/article/top-gold-backed-crypto-tokens" TargetMode="External"/><Relationship Id="rId33" Type="http://schemas.openxmlformats.org/officeDocument/2006/relationships/hyperlink" Target="https://corpgov.law.harvard.edu/2025/05/29/crypto-associations/" TargetMode="External"/><Relationship Id="rId10" Type="http://schemas.openxmlformats.org/officeDocument/2006/relationships/hyperlink" Target="https://help.paxos.com/hc/en-us/articles/360041903832-PAX-Gold-Fees" TargetMode="External"/><Relationship Id="rId32" Type="http://schemas.openxmlformats.org/officeDocument/2006/relationships/hyperlink" Target="https://www.toku.com/resources/duna-101-a-founders-guide-to-wyomings-dao-legal-framework" TargetMode="External"/><Relationship Id="rId13" Type="http://schemas.openxmlformats.org/officeDocument/2006/relationships/hyperlink" Target="https://tether.to/en/fees/" TargetMode="External"/><Relationship Id="rId35" Type="http://schemas.openxmlformats.org/officeDocument/2006/relationships/hyperlink" Target="https://blog.coinfund.io/digixdao-divorce-story-6ed74b00e2bd" TargetMode="External"/><Relationship Id="rId12" Type="http://schemas.openxmlformats.org/officeDocument/2006/relationships/hyperlink" Target="https://bingx.com/en/learn/article/what-is-tether-gold-xaut-and-how-does-it-work-vs-real-gold" TargetMode="External"/><Relationship Id="rId34" Type="http://schemas.openxmlformats.org/officeDocument/2006/relationships/hyperlink" Target="https://www.lw.com/en/us-crypto-policy-tracker/regulatory-developments" TargetMode="External"/><Relationship Id="rId15" Type="http://schemas.openxmlformats.org/officeDocument/2006/relationships/hyperlink" Target="https://kinesis.money/about-us/fees/" TargetMode="External"/><Relationship Id="rId37" Type="http://schemas.openxmlformats.org/officeDocument/2006/relationships/hyperlink" Target="https://blog.sigmaprime.io/governance-dao.html" TargetMode="External"/><Relationship Id="rId14" Type="http://schemas.openxmlformats.org/officeDocument/2006/relationships/hyperlink" Target="https://gold.tether.to/faq" TargetMode="External"/><Relationship Id="rId36" Type="http://schemas.openxmlformats.org/officeDocument/2006/relationships/hyperlink" Target="https://www.finder.com.au/news/what-we-learnt-from-the-rise-and-fall-of-the-digixdao-autonomous-organisation" TargetMode="External"/><Relationship Id="rId17" Type="http://schemas.openxmlformats.org/officeDocument/2006/relationships/hyperlink" Target="https://kinesis.money/about-us/documents/trust-security-detailed-overview/#:~:text=Kinesis%20enables%20users%20to%20redeem,%2C%20Brinks%20and%20Malca%2DAmit." TargetMode="External"/><Relationship Id="rId39" Type="http://schemas.openxmlformats.org/officeDocument/2006/relationships/hyperlink" Target="https://blog.colony.io/applying-ostroms-principles-to-dao-governance/" TargetMode="External"/><Relationship Id="rId16" Type="http://schemas.openxmlformats.org/officeDocument/2006/relationships/hyperlink" Target="https://iq.wiki/wiki/kinesis-gold-kau" TargetMode="External"/><Relationship Id="rId38" Type="http://schemas.openxmlformats.org/officeDocument/2006/relationships/hyperlink" Target="https://lifestyle.sustainability-directory.com/area/elinor-ostrom-governance-models/" TargetMode="External"/><Relationship Id="rId19" Type="http://schemas.openxmlformats.org/officeDocument/2006/relationships/hyperlink" Target="https://www.agabullion.com/AgaGoldy" TargetMode="External"/><Relationship Id="rId18" Type="http://schemas.openxmlformats.org/officeDocument/2006/relationships/hyperlink" Target="https://medium.com/@kinesismonetary_rwa/earn-more-kau-kinesis-gold-december-2025-high-yield-rewards-guide-8042105d896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